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9CB" w:rsidRPr="009109CB" w:rsidRDefault="009109CB" w:rsidP="009109CB">
      <w:pPr>
        <w:pStyle w:val="En-tte"/>
        <w:tabs>
          <w:tab w:val="clear" w:pos="4536"/>
          <w:tab w:val="clear" w:pos="9072"/>
        </w:tabs>
        <w:ind w:right="-8"/>
        <w:jc w:val="center"/>
        <w:rPr>
          <w:rFonts w:ascii="Times" w:hAnsi="Times"/>
          <w:b/>
          <w:caps/>
          <w:color w:val="244061" w:themeColor="accent1" w:themeShade="80"/>
          <w:sz w:val="22"/>
          <w:szCs w:val="22"/>
        </w:rPr>
      </w:pPr>
      <w:r w:rsidRPr="009109CB">
        <w:rPr>
          <w:rFonts w:ascii="Times" w:hAnsi="Times"/>
          <w:b/>
          <w:caps/>
          <w:color w:val="244061" w:themeColor="accent1" w:themeShade="80"/>
          <w:sz w:val="22"/>
          <w:szCs w:val="22"/>
        </w:rPr>
        <w:t>cooPÉrATION, Éducation, formATION</w:t>
      </w:r>
    </w:p>
    <w:p w:rsidR="00D4171C" w:rsidRPr="00295FFE" w:rsidRDefault="00D4171C" w:rsidP="00D4171C">
      <w:pPr>
        <w:spacing w:line="360" w:lineRule="auto"/>
        <w:jc w:val="center"/>
        <w:rPr>
          <w:b/>
          <w:color w:val="17365D" w:themeColor="text2" w:themeShade="BF"/>
          <w:sz w:val="22"/>
          <w:szCs w:val="22"/>
        </w:rPr>
      </w:pPr>
      <w:r w:rsidRPr="00295FFE">
        <w:rPr>
          <w:b/>
          <w:color w:val="17365D" w:themeColor="text2" w:themeShade="BF"/>
          <w:szCs w:val="22"/>
        </w:rPr>
        <w:t>La pédagogie Freinet face aux défis du XXIe siècle</w:t>
      </w:r>
    </w:p>
    <w:p w:rsidR="009109CB" w:rsidRPr="009109CB" w:rsidRDefault="009109CB" w:rsidP="009109CB">
      <w:pPr>
        <w:ind w:right="-8"/>
        <w:jc w:val="center"/>
        <w:rPr>
          <w:rFonts w:ascii="Times" w:hAnsi="Times"/>
          <w:b/>
          <w:color w:val="244061" w:themeColor="accent1" w:themeShade="80"/>
          <w:sz w:val="22"/>
          <w:szCs w:val="22"/>
        </w:rPr>
      </w:pPr>
      <w:bookmarkStart w:id="0" w:name="_GoBack"/>
      <w:bookmarkEnd w:id="0"/>
    </w:p>
    <w:p w:rsidR="009109CB" w:rsidRPr="009109CB" w:rsidRDefault="009109CB" w:rsidP="009109CB">
      <w:pPr>
        <w:ind w:right="-8"/>
        <w:jc w:val="center"/>
        <w:rPr>
          <w:rFonts w:ascii="Times" w:hAnsi="Times"/>
          <w:b/>
          <w:color w:val="244061" w:themeColor="accent1" w:themeShade="80"/>
          <w:sz w:val="22"/>
          <w:szCs w:val="22"/>
        </w:rPr>
      </w:pPr>
      <w:r w:rsidRPr="009109CB">
        <w:rPr>
          <w:rFonts w:ascii="Times" w:hAnsi="Times"/>
          <w:b/>
          <w:color w:val="244061" w:themeColor="accent1" w:themeShade="80"/>
          <w:sz w:val="22"/>
          <w:szCs w:val="22"/>
        </w:rPr>
        <w:t>Bordeaux : 10, 11, 12 juillet 2017</w:t>
      </w:r>
    </w:p>
    <w:p w:rsidR="009109CB" w:rsidRDefault="009109CB" w:rsidP="009109CB">
      <w:pPr>
        <w:jc w:val="center"/>
        <w:rPr>
          <w:b/>
          <w:sz w:val="22"/>
          <w:szCs w:val="22"/>
        </w:rPr>
      </w:pPr>
    </w:p>
    <w:p w:rsidR="00AE2DAB" w:rsidRDefault="00AE2DAB" w:rsidP="009109CB">
      <w:pPr>
        <w:rPr>
          <w:b/>
          <w:color w:val="17365D" w:themeColor="text2" w:themeShade="BF"/>
          <w:sz w:val="22"/>
          <w:szCs w:val="22"/>
        </w:rPr>
      </w:pPr>
    </w:p>
    <w:p w:rsidR="009109CB" w:rsidRPr="009109CB" w:rsidRDefault="009109CB" w:rsidP="009109CB">
      <w:pPr>
        <w:rPr>
          <w:b/>
          <w:color w:val="17365D" w:themeColor="text2" w:themeShade="BF"/>
          <w:sz w:val="22"/>
          <w:szCs w:val="22"/>
        </w:rPr>
      </w:pPr>
      <w:r w:rsidRPr="009109CB">
        <w:rPr>
          <w:b/>
          <w:color w:val="17365D" w:themeColor="text2" w:themeShade="BF"/>
          <w:sz w:val="22"/>
          <w:szCs w:val="22"/>
        </w:rPr>
        <w:t>Envoi des projets de communication, ou des “projets complets“ de communication.</w:t>
      </w:r>
    </w:p>
    <w:p w:rsidR="009109CB" w:rsidRPr="00E51132" w:rsidRDefault="009109CB" w:rsidP="009109CB">
      <w:pPr>
        <w:jc w:val="both"/>
        <w:rPr>
          <w:b/>
          <w:sz w:val="22"/>
          <w:szCs w:val="22"/>
        </w:rPr>
      </w:pPr>
    </w:p>
    <w:p w:rsidR="009109CB" w:rsidRPr="00E51132" w:rsidRDefault="009109CB" w:rsidP="009109CB">
      <w:pPr>
        <w:jc w:val="both"/>
        <w:rPr>
          <w:sz w:val="22"/>
          <w:szCs w:val="22"/>
        </w:rPr>
      </w:pPr>
      <w:r w:rsidRPr="00E51132">
        <w:rPr>
          <w:sz w:val="22"/>
          <w:szCs w:val="22"/>
        </w:rPr>
        <w:t>Nous devons nous organiser pour un colloque tenant compte de plusieurs exigences, qui sont à concevoir comme complémentaires. D’un côté, la priorité doit être donnée aux échanges d’idées et à la possibilité de découvertes de nouveaux aspects, d’avancées provenant de ces échanges. D’un autre côté, certains participants souhaiteront (et c’est légitime) que leur travail débouche sur une publication, et ce souhait peut aller jusqu’au besoin, pour leur dossier, d’une publication rapide — dans ce cas, il vaudra mieux que le projet de communication soit “complet“, c’est-à-dire consiste en un texte finalisé dans la forme décrite ci-après. Les projets “simples“, ou non urgents, peuvent se limiter à une page (Word times 12), indiquant titre, nom et coordonnées d’auteur(s), atelier visé.</w:t>
      </w:r>
    </w:p>
    <w:p w:rsidR="009109CB" w:rsidRPr="00E51132" w:rsidRDefault="009109CB" w:rsidP="009109CB">
      <w:pPr>
        <w:jc w:val="both"/>
        <w:rPr>
          <w:sz w:val="22"/>
          <w:szCs w:val="22"/>
        </w:rPr>
      </w:pPr>
    </w:p>
    <w:p w:rsidR="009109CB" w:rsidRPr="00E51132" w:rsidRDefault="009109CB" w:rsidP="009109CB">
      <w:pPr>
        <w:jc w:val="both"/>
        <w:rPr>
          <w:sz w:val="22"/>
          <w:szCs w:val="22"/>
        </w:rPr>
      </w:pPr>
      <w:r w:rsidRPr="00E51132">
        <w:rPr>
          <w:sz w:val="22"/>
          <w:szCs w:val="22"/>
        </w:rPr>
        <w:t>En conséquence, nous pouvons avoir un éventail de positions variées, allant d’une inscription au colloque sans projet formel de communication à une inscription assortie d’une communication avec besoin de publication urgente, en passant par une inscription avec communication sans urgence particulière… Nous devrons donner la priorité aux échanges en tenant compte de la variété des positions, dans l’écoute et la bonne humeur.</w:t>
      </w:r>
    </w:p>
    <w:p w:rsidR="009109CB" w:rsidRPr="00E51132" w:rsidRDefault="009109CB" w:rsidP="009109CB">
      <w:pPr>
        <w:jc w:val="both"/>
        <w:rPr>
          <w:sz w:val="22"/>
          <w:szCs w:val="22"/>
        </w:rPr>
      </w:pPr>
    </w:p>
    <w:p w:rsidR="009109CB" w:rsidRPr="00E51132" w:rsidRDefault="009109CB" w:rsidP="009109CB">
      <w:pPr>
        <w:jc w:val="both"/>
        <w:rPr>
          <w:sz w:val="22"/>
          <w:szCs w:val="22"/>
        </w:rPr>
      </w:pPr>
      <w:r w:rsidRPr="00E51132">
        <w:rPr>
          <w:sz w:val="22"/>
          <w:szCs w:val="22"/>
        </w:rPr>
        <w:t xml:space="preserve">Pour que le comité d’organisation puisse travailler dans de bonnes conditions, nous souhaitons que tous les projets arrivent pour le </w:t>
      </w:r>
      <w:r w:rsidRPr="00F1548D">
        <w:rPr>
          <w:b/>
          <w:sz w:val="22"/>
          <w:szCs w:val="22"/>
        </w:rPr>
        <w:t xml:space="preserve">30 </w:t>
      </w:r>
      <w:r w:rsidR="00F80CD8" w:rsidRPr="00F1548D">
        <w:rPr>
          <w:b/>
          <w:sz w:val="22"/>
          <w:szCs w:val="22"/>
        </w:rPr>
        <w:t>avril dernier délai</w:t>
      </w:r>
      <w:r w:rsidR="00F80CD8">
        <w:rPr>
          <w:sz w:val="22"/>
          <w:szCs w:val="22"/>
        </w:rPr>
        <w:t>.</w:t>
      </w:r>
    </w:p>
    <w:p w:rsidR="00F80CD8" w:rsidRPr="00E51132" w:rsidRDefault="00F80CD8" w:rsidP="009109CB">
      <w:pPr>
        <w:jc w:val="both"/>
        <w:rPr>
          <w:sz w:val="22"/>
          <w:szCs w:val="22"/>
        </w:rPr>
      </w:pPr>
    </w:p>
    <w:p w:rsidR="009109CB" w:rsidRPr="009109CB" w:rsidRDefault="009109CB" w:rsidP="009109CB">
      <w:pPr>
        <w:widowControl w:val="0"/>
        <w:autoSpaceDE w:val="0"/>
        <w:autoSpaceDN w:val="0"/>
        <w:adjustRightInd w:val="0"/>
        <w:spacing w:after="240"/>
        <w:rPr>
          <w:color w:val="17365D" w:themeColor="text2" w:themeShade="BF"/>
          <w:sz w:val="22"/>
          <w:szCs w:val="22"/>
          <w:lang w:eastAsia="ja-JP"/>
        </w:rPr>
      </w:pPr>
      <w:r w:rsidRPr="009109CB">
        <w:rPr>
          <w:b/>
          <w:bCs/>
          <w:color w:val="17365D" w:themeColor="text2" w:themeShade="BF"/>
          <w:sz w:val="22"/>
          <w:szCs w:val="22"/>
          <w:lang w:eastAsia="ja-JP"/>
        </w:rPr>
        <w:t xml:space="preserve">A. </w:t>
      </w:r>
      <w:r>
        <w:rPr>
          <w:b/>
          <w:bCs/>
          <w:color w:val="17365D" w:themeColor="text2" w:themeShade="BF"/>
          <w:sz w:val="22"/>
          <w:szCs w:val="22"/>
          <w:lang w:eastAsia="ja-JP"/>
        </w:rPr>
        <w:t>Organisation</w:t>
      </w:r>
    </w:p>
    <w:p w:rsidR="009109CB" w:rsidRPr="00F80CD8" w:rsidRDefault="009109CB" w:rsidP="00F80CD8">
      <w:pPr>
        <w:widowControl w:val="0"/>
        <w:autoSpaceDE w:val="0"/>
        <w:autoSpaceDN w:val="0"/>
        <w:adjustRightInd w:val="0"/>
        <w:ind w:left="142"/>
        <w:rPr>
          <w:color w:val="17365D" w:themeColor="text2" w:themeShade="BF"/>
          <w:sz w:val="22"/>
          <w:szCs w:val="22"/>
          <w:lang w:eastAsia="ja-JP"/>
        </w:rPr>
      </w:pPr>
      <w:r w:rsidRPr="00F80CD8">
        <w:rPr>
          <w:b/>
          <w:bCs/>
          <w:color w:val="17365D" w:themeColor="text2" w:themeShade="BF"/>
          <w:sz w:val="22"/>
          <w:szCs w:val="22"/>
          <w:lang w:eastAsia="ja-JP"/>
        </w:rPr>
        <w:t xml:space="preserve">Date </w:t>
      </w:r>
      <w:r w:rsidR="00F80CD8">
        <w:rPr>
          <w:b/>
          <w:bCs/>
          <w:color w:val="17365D" w:themeColor="text2" w:themeShade="BF"/>
          <w:sz w:val="22"/>
          <w:szCs w:val="22"/>
          <w:lang w:eastAsia="ja-JP"/>
        </w:rPr>
        <w:t xml:space="preserve">limite </w:t>
      </w:r>
      <w:r w:rsidRPr="00F80CD8">
        <w:rPr>
          <w:b/>
          <w:bCs/>
          <w:color w:val="17365D" w:themeColor="text2" w:themeShade="BF"/>
          <w:sz w:val="22"/>
          <w:szCs w:val="22"/>
          <w:lang w:eastAsia="ja-JP"/>
        </w:rPr>
        <w:t>d’envoi des projets de communication</w:t>
      </w:r>
    </w:p>
    <w:p w:rsidR="009109CB" w:rsidRPr="006A2253" w:rsidRDefault="009109CB" w:rsidP="00F80CD8">
      <w:pPr>
        <w:widowControl w:val="0"/>
        <w:autoSpaceDE w:val="0"/>
        <w:autoSpaceDN w:val="0"/>
        <w:adjustRightInd w:val="0"/>
        <w:ind w:left="142"/>
        <w:rPr>
          <w:sz w:val="22"/>
          <w:szCs w:val="22"/>
          <w:lang w:eastAsia="ja-JP"/>
        </w:rPr>
      </w:pPr>
      <w:r w:rsidRPr="006A2253">
        <w:rPr>
          <w:sz w:val="22"/>
          <w:szCs w:val="22"/>
          <w:lang w:eastAsia="ja-JP"/>
        </w:rPr>
        <w:t>(</w:t>
      </w:r>
      <w:r w:rsidR="00E06E53" w:rsidRPr="006A2253">
        <w:rPr>
          <w:sz w:val="22"/>
          <w:szCs w:val="22"/>
          <w:lang w:eastAsia="ja-JP"/>
        </w:rPr>
        <w:t>Exclusivement</w:t>
      </w:r>
      <w:r w:rsidRPr="006A2253">
        <w:rPr>
          <w:sz w:val="22"/>
          <w:szCs w:val="22"/>
          <w:lang w:eastAsia="ja-JP"/>
        </w:rPr>
        <w:t xml:space="preserve"> par e-mail sous format doc, docx ou RTF) : </w:t>
      </w:r>
      <w:r w:rsidRPr="006A2253">
        <w:rPr>
          <w:sz w:val="22"/>
          <w:szCs w:val="22"/>
          <w:lang w:eastAsia="ja-JP"/>
        </w:rPr>
        <w:tab/>
      </w:r>
      <w:r w:rsidRPr="006A2253">
        <w:rPr>
          <w:sz w:val="22"/>
          <w:szCs w:val="22"/>
          <w:lang w:eastAsia="ja-JP"/>
        </w:rPr>
        <w:tab/>
      </w:r>
      <w:r w:rsidRPr="006A2253">
        <w:rPr>
          <w:b/>
          <w:sz w:val="22"/>
          <w:szCs w:val="22"/>
          <w:lang w:eastAsia="ja-JP"/>
        </w:rPr>
        <w:t>30 avril 2017</w:t>
      </w:r>
    </w:p>
    <w:p w:rsidR="009109CB" w:rsidRPr="006A2253" w:rsidRDefault="009109CB" w:rsidP="00F80CD8">
      <w:pPr>
        <w:widowControl w:val="0"/>
        <w:autoSpaceDE w:val="0"/>
        <w:autoSpaceDN w:val="0"/>
        <w:adjustRightInd w:val="0"/>
        <w:ind w:left="142"/>
        <w:rPr>
          <w:sz w:val="22"/>
          <w:szCs w:val="22"/>
          <w:lang w:eastAsia="ja-JP"/>
        </w:rPr>
      </w:pPr>
    </w:p>
    <w:p w:rsidR="009109CB" w:rsidRPr="006A2253" w:rsidRDefault="009109CB" w:rsidP="00F80CD8">
      <w:pPr>
        <w:widowControl w:val="0"/>
        <w:autoSpaceDE w:val="0"/>
        <w:autoSpaceDN w:val="0"/>
        <w:adjustRightInd w:val="0"/>
        <w:ind w:left="142"/>
        <w:rPr>
          <w:sz w:val="22"/>
          <w:szCs w:val="22"/>
          <w:lang w:eastAsia="ja-JP"/>
        </w:rPr>
      </w:pPr>
      <w:r w:rsidRPr="00D9248A">
        <w:rPr>
          <w:b/>
          <w:color w:val="17365D" w:themeColor="text2" w:themeShade="BF"/>
          <w:sz w:val="22"/>
          <w:szCs w:val="22"/>
          <w:lang w:eastAsia="ja-JP"/>
        </w:rPr>
        <w:t>Ouverture des inscriptions</w:t>
      </w:r>
      <w:r w:rsidRPr="00D9248A">
        <w:rPr>
          <w:color w:val="17365D" w:themeColor="text2" w:themeShade="BF"/>
          <w:sz w:val="22"/>
          <w:szCs w:val="22"/>
          <w:lang w:eastAsia="ja-JP"/>
        </w:rPr>
        <w:t xml:space="preserve"> : </w:t>
      </w:r>
      <w:r w:rsidRPr="006A2253">
        <w:rPr>
          <w:sz w:val="22"/>
          <w:szCs w:val="22"/>
          <w:lang w:eastAsia="ja-JP"/>
        </w:rPr>
        <w:tab/>
      </w:r>
      <w:r w:rsidRPr="006A2253">
        <w:rPr>
          <w:sz w:val="22"/>
          <w:szCs w:val="22"/>
          <w:lang w:eastAsia="ja-JP"/>
        </w:rPr>
        <w:tab/>
      </w:r>
      <w:r w:rsidRPr="006A2253">
        <w:rPr>
          <w:sz w:val="22"/>
          <w:szCs w:val="22"/>
          <w:lang w:eastAsia="ja-JP"/>
        </w:rPr>
        <w:tab/>
      </w:r>
      <w:r w:rsidRPr="006A2253">
        <w:rPr>
          <w:sz w:val="22"/>
          <w:szCs w:val="22"/>
          <w:lang w:eastAsia="ja-JP"/>
        </w:rPr>
        <w:tab/>
      </w:r>
      <w:r w:rsidRPr="006A2253">
        <w:rPr>
          <w:sz w:val="22"/>
          <w:szCs w:val="22"/>
          <w:lang w:eastAsia="ja-JP"/>
        </w:rPr>
        <w:tab/>
      </w:r>
      <w:r w:rsidRPr="006A2253">
        <w:rPr>
          <w:sz w:val="22"/>
          <w:szCs w:val="22"/>
          <w:lang w:eastAsia="ja-JP"/>
        </w:rPr>
        <w:tab/>
      </w:r>
      <w:r w:rsidR="006A2253" w:rsidRPr="006A2253">
        <w:rPr>
          <w:b/>
          <w:sz w:val="22"/>
          <w:szCs w:val="22"/>
          <w:lang w:eastAsia="ja-JP"/>
        </w:rPr>
        <w:t>9</w:t>
      </w:r>
      <w:r w:rsidRPr="006A2253">
        <w:rPr>
          <w:b/>
          <w:sz w:val="22"/>
          <w:szCs w:val="22"/>
          <w:lang w:eastAsia="ja-JP"/>
        </w:rPr>
        <w:t xml:space="preserve"> mai 2017</w:t>
      </w:r>
    </w:p>
    <w:p w:rsidR="00C046E3" w:rsidRPr="00C046E3" w:rsidRDefault="00C046E3" w:rsidP="00C046E3">
      <w:pPr>
        <w:spacing w:before="120"/>
        <w:ind w:left="284"/>
        <w:rPr>
          <w:rFonts w:eastAsia="Times New Roman"/>
          <w:b/>
          <w:color w:val="17365D" w:themeColor="text2" w:themeShade="BF"/>
          <w:sz w:val="20"/>
          <w:szCs w:val="20"/>
        </w:rPr>
      </w:pPr>
      <w:r w:rsidRPr="00C046E3">
        <w:rPr>
          <w:rFonts w:eastAsia="Times New Roman"/>
          <w:b/>
          <w:color w:val="17365D" w:themeColor="text2" w:themeShade="BF"/>
          <w:sz w:val="20"/>
          <w:szCs w:val="20"/>
        </w:rPr>
        <w:t>Communicant – avec publication de la communication</w:t>
      </w:r>
    </w:p>
    <w:p w:rsidR="00C046E3" w:rsidRPr="00C046E3" w:rsidRDefault="00C046E3" w:rsidP="00C046E3">
      <w:pPr>
        <w:tabs>
          <w:tab w:val="left" w:pos="6096"/>
        </w:tabs>
        <w:ind w:left="426"/>
        <w:rPr>
          <w:rFonts w:eastAsia="Times New Roman"/>
          <w:color w:val="000000"/>
          <w:sz w:val="20"/>
          <w:szCs w:val="20"/>
        </w:rPr>
      </w:pPr>
      <w:r w:rsidRPr="00C046E3">
        <w:rPr>
          <w:rFonts w:eastAsia="Times New Roman"/>
          <w:color w:val="000000"/>
          <w:sz w:val="20"/>
          <w:szCs w:val="20"/>
        </w:rPr>
        <w:t xml:space="preserve">Enseignant-chercheur, chercheur  (pris en charge par une institution) : </w:t>
      </w:r>
      <w:r w:rsidRPr="00C046E3">
        <w:rPr>
          <w:rFonts w:eastAsia="Times New Roman"/>
          <w:color w:val="000000"/>
          <w:sz w:val="20"/>
          <w:szCs w:val="20"/>
        </w:rPr>
        <w:tab/>
        <w:t>150 €</w:t>
      </w:r>
    </w:p>
    <w:p w:rsidR="00C046E3" w:rsidRPr="00C046E3" w:rsidRDefault="00C046E3" w:rsidP="00C046E3">
      <w:pPr>
        <w:tabs>
          <w:tab w:val="left" w:pos="6096"/>
        </w:tabs>
        <w:ind w:left="426"/>
        <w:rPr>
          <w:rFonts w:eastAsia="Times New Roman"/>
          <w:color w:val="000000"/>
          <w:sz w:val="20"/>
          <w:szCs w:val="20"/>
        </w:rPr>
      </w:pPr>
      <w:r w:rsidRPr="00C046E3">
        <w:rPr>
          <w:rFonts w:eastAsia="Times New Roman"/>
          <w:color w:val="000000"/>
          <w:sz w:val="20"/>
          <w:szCs w:val="20"/>
        </w:rPr>
        <w:t xml:space="preserve">Enseignants, éducateurs… (pris en charge par une institution) : </w:t>
      </w:r>
      <w:r w:rsidRPr="00C046E3">
        <w:rPr>
          <w:rFonts w:eastAsia="Times New Roman"/>
          <w:color w:val="000000"/>
          <w:sz w:val="20"/>
          <w:szCs w:val="20"/>
        </w:rPr>
        <w:tab/>
        <w:t>110 €</w:t>
      </w:r>
    </w:p>
    <w:p w:rsidR="00C046E3" w:rsidRPr="00C046E3" w:rsidRDefault="00C046E3" w:rsidP="00C046E3">
      <w:pPr>
        <w:tabs>
          <w:tab w:val="left" w:pos="6096"/>
        </w:tabs>
        <w:ind w:left="426" w:right="-212"/>
        <w:rPr>
          <w:rFonts w:eastAsia="Times New Roman"/>
          <w:color w:val="000000"/>
          <w:sz w:val="20"/>
          <w:szCs w:val="20"/>
        </w:rPr>
      </w:pPr>
      <w:r w:rsidRPr="00C046E3">
        <w:rPr>
          <w:rFonts w:eastAsia="Times New Roman"/>
          <w:color w:val="000000"/>
          <w:sz w:val="20"/>
          <w:szCs w:val="20"/>
        </w:rPr>
        <w:t>Doctorant non UB affilié labo (pris en charge, avec publication com) :  90 €</w:t>
      </w:r>
    </w:p>
    <w:p w:rsidR="00C046E3" w:rsidRPr="00C046E3" w:rsidRDefault="00C046E3" w:rsidP="00C046E3">
      <w:pPr>
        <w:tabs>
          <w:tab w:val="left" w:pos="6096"/>
        </w:tabs>
        <w:ind w:left="284"/>
        <w:rPr>
          <w:rFonts w:eastAsia="Times New Roman"/>
          <w:b/>
          <w:color w:val="17365D" w:themeColor="text2" w:themeShade="BF"/>
          <w:sz w:val="20"/>
          <w:szCs w:val="20"/>
        </w:rPr>
      </w:pPr>
      <w:r w:rsidRPr="00C046E3">
        <w:rPr>
          <w:rFonts w:eastAsia="Times New Roman"/>
          <w:b/>
          <w:color w:val="17365D" w:themeColor="text2" w:themeShade="BF"/>
          <w:sz w:val="20"/>
          <w:szCs w:val="20"/>
        </w:rPr>
        <w:t>Non communicant</w:t>
      </w:r>
    </w:p>
    <w:p w:rsidR="00C046E3" w:rsidRPr="00C046E3" w:rsidRDefault="00C046E3" w:rsidP="00C046E3">
      <w:pPr>
        <w:tabs>
          <w:tab w:val="left" w:pos="6096"/>
        </w:tabs>
        <w:ind w:left="426"/>
        <w:rPr>
          <w:rFonts w:eastAsia="Times New Roman"/>
          <w:color w:val="000000"/>
          <w:sz w:val="20"/>
          <w:szCs w:val="20"/>
        </w:rPr>
      </w:pPr>
      <w:r w:rsidRPr="00C046E3">
        <w:rPr>
          <w:rFonts w:eastAsia="Times New Roman"/>
          <w:color w:val="000000"/>
          <w:sz w:val="20"/>
          <w:szCs w:val="20"/>
        </w:rPr>
        <w:t xml:space="preserve">Enseignants, éducateurs(non pris en charge par une institution) : </w:t>
      </w:r>
      <w:r w:rsidRPr="00C046E3">
        <w:rPr>
          <w:rFonts w:eastAsia="Times New Roman"/>
          <w:color w:val="000000"/>
          <w:sz w:val="20"/>
          <w:szCs w:val="20"/>
        </w:rPr>
        <w:tab/>
        <w:t>60 €</w:t>
      </w:r>
    </w:p>
    <w:p w:rsidR="00C046E3" w:rsidRPr="00C046E3" w:rsidRDefault="00C046E3" w:rsidP="00C046E3">
      <w:pPr>
        <w:tabs>
          <w:tab w:val="left" w:pos="6096"/>
        </w:tabs>
        <w:ind w:left="426"/>
        <w:rPr>
          <w:rFonts w:eastAsia="Times New Roman"/>
          <w:color w:val="000000"/>
          <w:sz w:val="20"/>
          <w:szCs w:val="20"/>
        </w:rPr>
      </w:pPr>
      <w:r w:rsidRPr="00C046E3">
        <w:rPr>
          <w:rFonts w:eastAsia="Times New Roman"/>
          <w:color w:val="000000"/>
          <w:sz w:val="20"/>
          <w:szCs w:val="20"/>
        </w:rPr>
        <w:t xml:space="preserve">Doctorant : </w:t>
      </w:r>
      <w:r w:rsidRPr="00C046E3">
        <w:rPr>
          <w:rFonts w:eastAsia="Times New Roman"/>
          <w:color w:val="000000"/>
          <w:sz w:val="20"/>
          <w:szCs w:val="20"/>
        </w:rPr>
        <w:tab/>
        <w:t>50 €</w:t>
      </w:r>
    </w:p>
    <w:p w:rsidR="00C046E3" w:rsidRPr="00C046E3" w:rsidRDefault="00C046E3" w:rsidP="00C046E3">
      <w:pPr>
        <w:tabs>
          <w:tab w:val="left" w:pos="6804"/>
        </w:tabs>
        <w:ind w:left="284"/>
        <w:rPr>
          <w:rFonts w:ascii="Times" w:eastAsia="Times New Roman" w:hAnsi="Times" w:cs="Times"/>
          <w:color w:val="000000"/>
          <w:sz w:val="20"/>
          <w:szCs w:val="20"/>
        </w:rPr>
      </w:pPr>
      <w:r w:rsidRPr="00C046E3">
        <w:rPr>
          <w:rFonts w:eastAsia="Times New Roman"/>
          <w:b/>
          <w:color w:val="17365D" w:themeColor="text2" w:themeShade="BF"/>
          <w:sz w:val="20"/>
          <w:szCs w:val="20"/>
        </w:rPr>
        <w:t>Etudiants</w:t>
      </w:r>
      <w:r w:rsidRPr="00C046E3">
        <w:rPr>
          <w:rFonts w:eastAsia="Times New Roman"/>
          <w:b/>
          <w:color w:val="000000"/>
          <w:sz w:val="20"/>
          <w:szCs w:val="20"/>
        </w:rPr>
        <w:t xml:space="preserve"> :</w:t>
      </w:r>
      <w:r w:rsidRPr="00C046E3">
        <w:rPr>
          <w:rFonts w:eastAsia="Times New Roman"/>
          <w:color w:val="000000"/>
          <w:sz w:val="20"/>
          <w:szCs w:val="20"/>
        </w:rPr>
        <w:t xml:space="preserve"> entrée gratuite</w:t>
      </w:r>
    </w:p>
    <w:p w:rsidR="00C046E3" w:rsidRPr="00F1548D" w:rsidRDefault="00F1548D" w:rsidP="00F1548D">
      <w:pPr>
        <w:widowControl w:val="0"/>
        <w:tabs>
          <w:tab w:val="left" w:pos="6096"/>
        </w:tabs>
        <w:autoSpaceDE w:val="0"/>
        <w:autoSpaceDN w:val="0"/>
        <w:adjustRightInd w:val="0"/>
        <w:ind w:left="284"/>
        <w:rPr>
          <w:bCs/>
          <w:sz w:val="20"/>
          <w:szCs w:val="20"/>
          <w:lang w:eastAsia="ja-JP"/>
        </w:rPr>
      </w:pPr>
      <w:r w:rsidRPr="00F1548D">
        <w:rPr>
          <w:b/>
          <w:bCs/>
          <w:color w:val="17365D" w:themeColor="text2" w:themeShade="BF"/>
          <w:sz w:val="20"/>
          <w:szCs w:val="20"/>
          <w:lang w:eastAsia="ja-JP"/>
        </w:rPr>
        <w:t>Participation à la soirée de gala</w:t>
      </w:r>
      <w:r>
        <w:rPr>
          <w:bCs/>
          <w:color w:val="17365D" w:themeColor="text2" w:themeShade="BF"/>
          <w:sz w:val="20"/>
          <w:szCs w:val="20"/>
          <w:lang w:eastAsia="ja-JP"/>
        </w:rPr>
        <w:tab/>
      </w:r>
      <w:r w:rsidRPr="00F1548D">
        <w:rPr>
          <w:bCs/>
          <w:sz w:val="20"/>
          <w:szCs w:val="20"/>
          <w:lang w:eastAsia="ja-JP"/>
        </w:rPr>
        <w:t>35 €</w:t>
      </w:r>
    </w:p>
    <w:p w:rsidR="00F1548D" w:rsidRPr="00F1548D" w:rsidRDefault="00F1548D" w:rsidP="00F80CD8">
      <w:pPr>
        <w:widowControl w:val="0"/>
        <w:autoSpaceDE w:val="0"/>
        <w:autoSpaceDN w:val="0"/>
        <w:adjustRightInd w:val="0"/>
        <w:ind w:left="142"/>
        <w:rPr>
          <w:bCs/>
          <w:color w:val="17365D" w:themeColor="text2" w:themeShade="BF"/>
          <w:sz w:val="22"/>
          <w:szCs w:val="22"/>
          <w:lang w:eastAsia="ja-JP"/>
        </w:rPr>
      </w:pPr>
    </w:p>
    <w:p w:rsidR="009109CB" w:rsidRPr="006A2253" w:rsidRDefault="009109CB" w:rsidP="00F80CD8">
      <w:pPr>
        <w:widowControl w:val="0"/>
        <w:autoSpaceDE w:val="0"/>
        <w:autoSpaceDN w:val="0"/>
        <w:adjustRightInd w:val="0"/>
        <w:ind w:left="142"/>
        <w:rPr>
          <w:b/>
          <w:bCs/>
          <w:sz w:val="22"/>
          <w:szCs w:val="22"/>
          <w:lang w:eastAsia="ja-JP"/>
        </w:rPr>
      </w:pPr>
      <w:r w:rsidRPr="00D9248A">
        <w:rPr>
          <w:b/>
          <w:bCs/>
          <w:color w:val="17365D" w:themeColor="text2" w:themeShade="BF"/>
          <w:sz w:val="22"/>
          <w:szCs w:val="22"/>
          <w:lang w:eastAsia="ja-JP"/>
        </w:rPr>
        <w:t xml:space="preserve">Date limite </w:t>
      </w:r>
      <w:r w:rsidR="00D9248A" w:rsidRPr="00D9248A">
        <w:rPr>
          <w:b/>
          <w:bCs/>
          <w:color w:val="17365D" w:themeColor="text2" w:themeShade="BF"/>
          <w:sz w:val="22"/>
          <w:szCs w:val="22"/>
          <w:lang w:eastAsia="ja-JP"/>
        </w:rPr>
        <w:t>d</w:t>
      </w:r>
      <w:r w:rsidRPr="00D9248A">
        <w:rPr>
          <w:b/>
          <w:bCs/>
          <w:color w:val="17365D" w:themeColor="text2" w:themeShade="BF"/>
          <w:sz w:val="22"/>
          <w:szCs w:val="22"/>
          <w:lang w:eastAsia="ja-JP"/>
        </w:rPr>
        <w:t>’inscription</w:t>
      </w:r>
      <w:r w:rsidR="006A2253" w:rsidRPr="00D9248A">
        <w:rPr>
          <w:b/>
          <w:bCs/>
          <w:color w:val="17365D" w:themeColor="text2" w:themeShade="BF"/>
          <w:sz w:val="22"/>
          <w:szCs w:val="22"/>
          <w:lang w:eastAsia="ja-JP"/>
        </w:rPr>
        <w:t xml:space="preserve"> pour les communicants</w:t>
      </w:r>
      <w:r w:rsidRPr="006A2253">
        <w:rPr>
          <w:b/>
          <w:bCs/>
          <w:sz w:val="22"/>
          <w:szCs w:val="22"/>
          <w:lang w:eastAsia="ja-JP"/>
        </w:rPr>
        <w:tab/>
      </w:r>
      <w:r w:rsidR="00D9248A">
        <w:rPr>
          <w:b/>
          <w:bCs/>
          <w:sz w:val="22"/>
          <w:szCs w:val="22"/>
          <w:lang w:eastAsia="ja-JP"/>
        </w:rPr>
        <w:tab/>
      </w:r>
      <w:r w:rsidR="00D9248A">
        <w:rPr>
          <w:b/>
          <w:bCs/>
          <w:sz w:val="22"/>
          <w:szCs w:val="22"/>
          <w:lang w:eastAsia="ja-JP"/>
        </w:rPr>
        <w:tab/>
        <w:t>9</w:t>
      </w:r>
      <w:r w:rsidRPr="006A2253">
        <w:rPr>
          <w:b/>
          <w:bCs/>
          <w:sz w:val="22"/>
          <w:szCs w:val="22"/>
          <w:lang w:eastAsia="ja-JP"/>
        </w:rPr>
        <w:t xml:space="preserve"> juin 2017</w:t>
      </w:r>
    </w:p>
    <w:p w:rsidR="00F1548D" w:rsidRDefault="006A2253" w:rsidP="006A2253">
      <w:pPr>
        <w:widowControl w:val="0"/>
        <w:autoSpaceDE w:val="0"/>
        <w:autoSpaceDN w:val="0"/>
        <w:adjustRightInd w:val="0"/>
        <w:ind w:left="142"/>
        <w:rPr>
          <w:sz w:val="20"/>
          <w:szCs w:val="20"/>
          <w:lang w:eastAsia="ja-JP"/>
        </w:rPr>
      </w:pPr>
      <w:r w:rsidRPr="00F1548D">
        <w:rPr>
          <w:sz w:val="20"/>
          <w:szCs w:val="20"/>
          <w:lang w:eastAsia="ja-JP"/>
        </w:rPr>
        <w:t>(l’intégration des communications dans les actes</w:t>
      </w:r>
      <w:r w:rsidR="00D9248A" w:rsidRPr="00F1548D">
        <w:rPr>
          <w:sz w:val="20"/>
          <w:szCs w:val="20"/>
          <w:lang w:eastAsia="ja-JP"/>
        </w:rPr>
        <w:t xml:space="preserve"> est conditionnéeparla</w:t>
      </w:r>
    </w:p>
    <w:p w:rsidR="006A2253" w:rsidRPr="006A2253" w:rsidRDefault="00D9248A" w:rsidP="006A2253">
      <w:pPr>
        <w:widowControl w:val="0"/>
        <w:autoSpaceDE w:val="0"/>
        <w:autoSpaceDN w:val="0"/>
        <w:adjustRightInd w:val="0"/>
        <w:ind w:left="142"/>
        <w:rPr>
          <w:sz w:val="22"/>
          <w:szCs w:val="22"/>
          <w:lang w:eastAsia="ja-JP"/>
        </w:rPr>
      </w:pPr>
      <w:r w:rsidRPr="00F1548D">
        <w:rPr>
          <w:sz w:val="20"/>
          <w:szCs w:val="20"/>
          <w:lang w:eastAsia="ja-JP"/>
        </w:rPr>
        <w:t xml:space="preserve">réception du </w:t>
      </w:r>
      <w:r w:rsidR="00C046E3" w:rsidRPr="00F1548D">
        <w:rPr>
          <w:sz w:val="20"/>
          <w:szCs w:val="20"/>
          <w:lang w:eastAsia="ja-JP"/>
        </w:rPr>
        <w:t xml:space="preserve">moyen de paiement </w:t>
      </w:r>
      <w:r w:rsidRPr="00F1548D">
        <w:rPr>
          <w:sz w:val="20"/>
          <w:szCs w:val="20"/>
          <w:lang w:eastAsia="ja-JP"/>
        </w:rPr>
        <w:t>à cette date : chèque ou bon de commande</w:t>
      </w:r>
      <w:r w:rsidR="006A2253" w:rsidRPr="006A2253">
        <w:rPr>
          <w:sz w:val="22"/>
          <w:szCs w:val="22"/>
          <w:lang w:eastAsia="ja-JP"/>
        </w:rPr>
        <w:t>)</w:t>
      </w:r>
    </w:p>
    <w:p w:rsidR="00D9248A" w:rsidRDefault="00D9248A" w:rsidP="00F80CD8">
      <w:pPr>
        <w:widowControl w:val="0"/>
        <w:autoSpaceDE w:val="0"/>
        <w:autoSpaceDN w:val="0"/>
        <w:adjustRightInd w:val="0"/>
        <w:ind w:left="142"/>
        <w:rPr>
          <w:sz w:val="22"/>
          <w:szCs w:val="22"/>
          <w:lang w:eastAsia="ja-JP"/>
        </w:rPr>
      </w:pPr>
    </w:p>
    <w:p w:rsidR="009109CB" w:rsidRPr="00D9248A" w:rsidRDefault="00D9248A" w:rsidP="00F80CD8">
      <w:pPr>
        <w:widowControl w:val="0"/>
        <w:autoSpaceDE w:val="0"/>
        <w:autoSpaceDN w:val="0"/>
        <w:adjustRightInd w:val="0"/>
        <w:ind w:left="142"/>
        <w:jc w:val="both"/>
        <w:rPr>
          <w:b/>
          <w:sz w:val="22"/>
          <w:szCs w:val="22"/>
          <w:lang w:eastAsia="ja-JP"/>
        </w:rPr>
      </w:pPr>
      <w:r w:rsidRPr="00D9248A">
        <w:rPr>
          <w:b/>
          <w:color w:val="17365D" w:themeColor="text2" w:themeShade="BF"/>
          <w:sz w:val="22"/>
          <w:szCs w:val="22"/>
          <w:lang w:eastAsia="ja-JP"/>
        </w:rPr>
        <w:t>Clôture des inscriptions</w:t>
      </w:r>
      <w:r>
        <w:rPr>
          <w:sz w:val="22"/>
          <w:szCs w:val="22"/>
          <w:lang w:eastAsia="ja-JP"/>
        </w:rPr>
        <w:tab/>
      </w:r>
      <w:r>
        <w:rPr>
          <w:sz w:val="22"/>
          <w:szCs w:val="22"/>
          <w:lang w:eastAsia="ja-JP"/>
        </w:rPr>
        <w:tab/>
      </w:r>
      <w:r>
        <w:rPr>
          <w:sz w:val="22"/>
          <w:szCs w:val="22"/>
          <w:lang w:eastAsia="ja-JP"/>
        </w:rPr>
        <w:tab/>
      </w:r>
      <w:r>
        <w:rPr>
          <w:sz w:val="22"/>
          <w:szCs w:val="22"/>
          <w:lang w:eastAsia="ja-JP"/>
        </w:rPr>
        <w:tab/>
      </w:r>
      <w:r>
        <w:rPr>
          <w:sz w:val="22"/>
          <w:szCs w:val="22"/>
          <w:lang w:eastAsia="ja-JP"/>
        </w:rPr>
        <w:tab/>
      </w:r>
      <w:r>
        <w:rPr>
          <w:sz w:val="22"/>
          <w:szCs w:val="22"/>
          <w:lang w:eastAsia="ja-JP"/>
        </w:rPr>
        <w:tab/>
      </w:r>
      <w:r w:rsidRPr="00D9248A">
        <w:rPr>
          <w:b/>
          <w:sz w:val="22"/>
          <w:szCs w:val="22"/>
          <w:lang w:eastAsia="ja-JP"/>
        </w:rPr>
        <w:t>26 juin 2017</w:t>
      </w:r>
    </w:p>
    <w:p w:rsidR="00C046E3" w:rsidRDefault="00C046E3" w:rsidP="009109CB">
      <w:pPr>
        <w:widowControl w:val="0"/>
        <w:autoSpaceDE w:val="0"/>
        <w:autoSpaceDN w:val="0"/>
        <w:adjustRightInd w:val="0"/>
        <w:jc w:val="both"/>
        <w:rPr>
          <w:bCs/>
          <w:sz w:val="22"/>
          <w:szCs w:val="22"/>
          <w:lang w:eastAsia="ja-JP"/>
        </w:rPr>
      </w:pPr>
    </w:p>
    <w:p w:rsidR="009109CB" w:rsidRPr="00E51132" w:rsidRDefault="009109CB" w:rsidP="009109CB">
      <w:pPr>
        <w:widowControl w:val="0"/>
        <w:autoSpaceDE w:val="0"/>
        <w:autoSpaceDN w:val="0"/>
        <w:adjustRightInd w:val="0"/>
        <w:jc w:val="both"/>
        <w:rPr>
          <w:bCs/>
          <w:sz w:val="22"/>
          <w:szCs w:val="22"/>
          <w:lang w:eastAsia="ja-JP"/>
        </w:rPr>
      </w:pPr>
      <w:r w:rsidRPr="00E51132">
        <w:rPr>
          <w:bCs/>
          <w:sz w:val="22"/>
          <w:szCs w:val="22"/>
          <w:lang w:eastAsia="ja-JP"/>
        </w:rPr>
        <w:t xml:space="preserve">NB : les congressistes sont priés de prévoir, longtemps à l’avance, les documents nécessaires à leur institution (France, Etranger) pour le paiement de leur inscription à </w:t>
      </w:r>
      <w:r w:rsidR="00C046E3">
        <w:rPr>
          <w:bCs/>
          <w:sz w:val="22"/>
          <w:szCs w:val="22"/>
          <w:lang w:eastAsia="ja-JP"/>
        </w:rPr>
        <w:t xml:space="preserve">la date </w:t>
      </w:r>
      <w:r w:rsidR="00F1548D">
        <w:rPr>
          <w:bCs/>
          <w:sz w:val="22"/>
          <w:szCs w:val="22"/>
          <w:lang w:eastAsia="ja-JP"/>
        </w:rPr>
        <w:t>butoir</w:t>
      </w:r>
      <w:r w:rsidRPr="00E51132">
        <w:rPr>
          <w:bCs/>
          <w:sz w:val="22"/>
          <w:szCs w:val="22"/>
          <w:lang w:eastAsia="ja-JP"/>
        </w:rPr>
        <w:t>.</w:t>
      </w:r>
    </w:p>
    <w:p w:rsidR="009109CB" w:rsidRPr="00E51132" w:rsidRDefault="009109CB" w:rsidP="009109CB">
      <w:pPr>
        <w:widowControl w:val="0"/>
        <w:autoSpaceDE w:val="0"/>
        <w:autoSpaceDN w:val="0"/>
        <w:adjustRightInd w:val="0"/>
        <w:jc w:val="both"/>
        <w:rPr>
          <w:b/>
          <w:bCs/>
          <w:sz w:val="22"/>
          <w:szCs w:val="22"/>
          <w:lang w:eastAsia="ja-JP"/>
        </w:rPr>
      </w:pPr>
    </w:p>
    <w:p w:rsidR="009109CB" w:rsidRPr="00E51132" w:rsidRDefault="009109CB" w:rsidP="009109CB">
      <w:pPr>
        <w:widowControl w:val="0"/>
        <w:autoSpaceDE w:val="0"/>
        <w:autoSpaceDN w:val="0"/>
        <w:adjustRightInd w:val="0"/>
        <w:jc w:val="both"/>
        <w:rPr>
          <w:sz w:val="22"/>
          <w:szCs w:val="22"/>
          <w:lang w:eastAsia="ja-JP"/>
        </w:rPr>
      </w:pPr>
      <w:r w:rsidRPr="009109CB">
        <w:rPr>
          <w:b/>
          <w:color w:val="17365D" w:themeColor="text2" w:themeShade="BF"/>
          <w:sz w:val="22"/>
          <w:szCs w:val="22"/>
          <w:lang w:eastAsia="ja-JP"/>
        </w:rPr>
        <w:t xml:space="preserve">Lieu du colloque : </w:t>
      </w:r>
      <w:r w:rsidRPr="00E51132">
        <w:rPr>
          <w:sz w:val="22"/>
          <w:szCs w:val="22"/>
          <w:lang w:eastAsia="ja-JP"/>
        </w:rPr>
        <w:t>Université de Bordeaux, campus Victoire (3 ter, Place de la Victoire, Bordeaux)</w:t>
      </w:r>
    </w:p>
    <w:p w:rsidR="00F80CD8" w:rsidRDefault="00F80CD8" w:rsidP="009109CB">
      <w:pPr>
        <w:widowControl w:val="0"/>
        <w:autoSpaceDE w:val="0"/>
        <w:autoSpaceDN w:val="0"/>
        <w:adjustRightInd w:val="0"/>
        <w:jc w:val="both"/>
        <w:rPr>
          <w:b/>
          <w:bCs/>
          <w:sz w:val="22"/>
          <w:szCs w:val="22"/>
          <w:lang w:eastAsia="ja-JP"/>
        </w:rPr>
      </w:pPr>
    </w:p>
    <w:p w:rsidR="009109CB" w:rsidRPr="009109CB" w:rsidRDefault="009109CB" w:rsidP="009109CB">
      <w:pPr>
        <w:widowControl w:val="0"/>
        <w:autoSpaceDE w:val="0"/>
        <w:autoSpaceDN w:val="0"/>
        <w:adjustRightInd w:val="0"/>
        <w:jc w:val="both"/>
        <w:rPr>
          <w:color w:val="17365D" w:themeColor="text2" w:themeShade="BF"/>
          <w:sz w:val="22"/>
          <w:szCs w:val="22"/>
          <w:lang w:eastAsia="ja-JP"/>
        </w:rPr>
      </w:pPr>
      <w:r w:rsidRPr="009109CB">
        <w:rPr>
          <w:b/>
          <w:bCs/>
          <w:color w:val="17365D" w:themeColor="text2" w:themeShade="BF"/>
          <w:sz w:val="22"/>
          <w:szCs w:val="22"/>
          <w:lang w:eastAsia="ja-JP"/>
        </w:rPr>
        <w:t>B. Forme des projets de communication</w:t>
      </w:r>
    </w:p>
    <w:p w:rsidR="00C046E3" w:rsidRPr="00E51132" w:rsidRDefault="00C046E3" w:rsidP="00C046E3">
      <w:pPr>
        <w:widowControl w:val="0"/>
        <w:tabs>
          <w:tab w:val="left" w:pos="220"/>
        </w:tabs>
        <w:autoSpaceDE w:val="0"/>
        <w:autoSpaceDN w:val="0"/>
        <w:adjustRightInd w:val="0"/>
        <w:jc w:val="both"/>
        <w:rPr>
          <w:sz w:val="22"/>
          <w:szCs w:val="22"/>
        </w:rPr>
      </w:pPr>
      <w:r w:rsidRPr="00E51132">
        <w:rPr>
          <w:bCs/>
          <w:sz w:val="22"/>
          <w:szCs w:val="22"/>
          <w:lang w:eastAsia="ja-JP"/>
        </w:rPr>
        <w:t xml:space="preserve">Chaque congressiste peut proposer au maximum deux projets de communication (seul ou en collaboration). </w:t>
      </w:r>
    </w:p>
    <w:p w:rsidR="009109CB" w:rsidRPr="00E51132" w:rsidRDefault="009109CB" w:rsidP="009109CB">
      <w:pPr>
        <w:widowControl w:val="0"/>
        <w:autoSpaceDE w:val="0"/>
        <w:autoSpaceDN w:val="0"/>
        <w:adjustRightInd w:val="0"/>
        <w:jc w:val="both"/>
        <w:rPr>
          <w:sz w:val="22"/>
          <w:szCs w:val="22"/>
          <w:lang w:eastAsia="ja-JP"/>
        </w:rPr>
      </w:pPr>
    </w:p>
    <w:p w:rsidR="009109CB" w:rsidRPr="00F80CD8" w:rsidRDefault="009109CB" w:rsidP="009109CB">
      <w:pPr>
        <w:widowControl w:val="0"/>
        <w:autoSpaceDE w:val="0"/>
        <w:autoSpaceDN w:val="0"/>
        <w:adjustRightInd w:val="0"/>
        <w:jc w:val="both"/>
        <w:rPr>
          <w:color w:val="17365D" w:themeColor="text2" w:themeShade="BF"/>
          <w:sz w:val="22"/>
          <w:szCs w:val="22"/>
          <w:lang w:eastAsia="ja-JP"/>
        </w:rPr>
      </w:pPr>
      <w:r w:rsidRPr="00F80CD8">
        <w:rPr>
          <w:b/>
          <w:bCs/>
          <w:color w:val="17365D" w:themeColor="text2" w:themeShade="BF"/>
          <w:sz w:val="22"/>
          <w:szCs w:val="22"/>
          <w:lang w:eastAsia="ja-JP"/>
        </w:rPr>
        <w:t>Préalable</w:t>
      </w:r>
    </w:p>
    <w:p w:rsidR="009109CB" w:rsidRDefault="009109CB" w:rsidP="009109CB">
      <w:pPr>
        <w:widowControl w:val="0"/>
        <w:autoSpaceDE w:val="0"/>
        <w:autoSpaceDN w:val="0"/>
        <w:adjustRightInd w:val="0"/>
        <w:jc w:val="both"/>
        <w:rPr>
          <w:sz w:val="22"/>
          <w:szCs w:val="22"/>
        </w:rPr>
      </w:pPr>
      <w:r w:rsidRPr="00E51132">
        <w:rPr>
          <w:bCs/>
          <w:sz w:val="22"/>
          <w:szCs w:val="22"/>
          <w:lang w:eastAsia="ja-JP"/>
        </w:rPr>
        <w:t>Le colloque</w:t>
      </w:r>
      <w:r w:rsidRPr="00E51132">
        <w:rPr>
          <w:b/>
          <w:bCs/>
          <w:sz w:val="22"/>
          <w:szCs w:val="22"/>
          <w:lang w:eastAsia="ja-JP"/>
        </w:rPr>
        <w:t xml:space="preserve"> “</w:t>
      </w:r>
      <w:r w:rsidRPr="00E51132">
        <w:rPr>
          <w:b/>
          <w:caps/>
          <w:sz w:val="22"/>
          <w:szCs w:val="22"/>
        </w:rPr>
        <w:t xml:space="preserve">cooPÉrATION, Éducation, formATION </w:t>
      </w:r>
      <w:r w:rsidRPr="00E51132">
        <w:rPr>
          <w:b/>
          <w:sz w:val="22"/>
          <w:szCs w:val="22"/>
        </w:rPr>
        <w:t xml:space="preserve">— la pédagogie Freinet face aux défis du XXIe siècle“ </w:t>
      </w:r>
      <w:r w:rsidRPr="00E51132">
        <w:rPr>
          <w:sz w:val="22"/>
          <w:szCs w:val="22"/>
        </w:rPr>
        <w:t xml:space="preserve">est une manifestation francophone. </w:t>
      </w:r>
    </w:p>
    <w:p w:rsidR="009109CB" w:rsidRPr="00E51132" w:rsidRDefault="009109CB" w:rsidP="009109CB">
      <w:pPr>
        <w:widowControl w:val="0"/>
        <w:autoSpaceDE w:val="0"/>
        <w:autoSpaceDN w:val="0"/>
        <w:adjustRightInd w:val="0"/>
        <w:jc w:val="both"/>
        <w:rPr>
          <w:iCs/>
          <w:sz w:val="22"/>
          <w:szCs w:val="22"/>
          <w:lang w:eastAsia="ja-JP"/>
        </w:rPr>
      </w:pPr>
      <w:r w:rsidRPr="00E51132">
        <w:rPr>
          <w:iCs/>
          <w:sz w:val="22"/>
          <w:szCs w:val="22"/>
          <w:lang w:eastAsia="ja-JP"/>
        </w:rPr>
        <w:t>Le colloqueprévoyant que les textes figurant dans les actes soient en languefrançaise</w:t>
      </w:r>
      <w:r w:rsidRPr="00E51132">
        <w:rPr>
          <w:bCs/>
          <w:iCs/>
          <w:sz w:val="22"/>
          <w:szCs w:val="22"/>
          <w:lang w:eastAsia="ja-JP"/>
        </w:rPr>
        <w:t>, il est demandé aux contributeurs (par exemple anglophones) de soumettre des projets de communication ayant déjà fait l’objet d’une traduction complète</w:t>
      </w:r>
      <w:r w:rsidRPr="00E51132">
        <w:rPr>
          <w:iCs/>
          <w:sz w:val="22"/>
          <w:szCs w:val="22"/>
          <w:lang w:eastAsia="ja-JP"/>
        </w:rPr>
        <w:t>.</w:t>
      </w:r>
    </w:p>
    <w:p w:rsidR="009109CB" w:rsidRPr="00E51132" w:rsidRDefault="009109CB" w:rsidP="009109CB">
      <w:pPr>
        <w:widowControl w:val="0"/>
        <w:autoSpaceDE w:val="0"/>
        <w:autoSpaceDN w:val="0"/>
        <w:adjustRightInd w:val="0"/>
        <w:jc w:val="both"/>
        <w:rPr>
          <w:sz w:val="22"/>
          <w:szCs w:val="22"/>
          <w:lang w:eastAsia="ja-JP"/>
        </w:rPr>
      </w:pPr>
      <w:r w:rsidRPr="00E51132">
        <w:rPr>
          <w:noProof/>
          <w:sz w:val="22"/>
          <w:szCs w:val="22"/>
        </w:rPr>
        <w:drawing>
          <wp:inline distT="0" distB="0" distL="0" distR="0">
            <wp:extent cx="8255" cy="825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255" cy="8255"/>
                    </a:xfrm>
                    <a:prstGeom prst="rect">
                      <a:avLst/>
                    </a:prstGeom>
                    <a:noFill/>
                    <a:ln>
                      <a:noFill/>
                    </a:ln>
                  </pic:spPr>
                </pic:pic>
              </a:graphicData>
            </a:graphic>
          </wp:inline>
        </w:drawing>
      </w:r>
      <w:r w:rsidRPr="00E51132">
        <w:rPr>
          <w:noProof/>
          <w:sz w:val="22"/>
          <w:szCs w:val="22"/>
        </w:rPr>
        <w:drawing>
          <wp:inline distT="0" distB="0" distL="0" distR="0">
            <wp:extent cx="8255" cy="825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255" cy="8255"/>
                    </a:xfrm>
                    <a:prstGeom prst="rect">
                      <a:avLst/>
                    </a:prstGeom>
                    <a:noFill/>
                    <a:ln>
                      <a:noFill/>
                    </a:ln>
                  </pic:spPr>
                </pic:pic>
              </a:graphicData>
            </a:graphic>
          </wp:inline>
        </w:drawing>
      </w:r>
    </w:p>
    <w:p w:rsidR="009109CB" w:rsidRPr="00E51132" w:rsidRDefault="009109CB" w:rsidP="009109CB">
      <w:pPr>
        <w:widowControl w:val="0"/>
        <w:autoSpaceDE w:val="0"/>
        <w:autoSpaceDN w:val="0"/>
        <w:adjustRightInd w:val="0"/>
        <w:jc w:val="both"/>
        <w:rPr>
          <w:sz w:val="22"/>
          <w:szCs w:val="22"/>
          <w:lang w:eastAsia="ja-JP"/>
        </w:rPr>
      </w:pPr>
      <w:r w:rsidRPr="00F80CD8">
        <w:rPr>
          <w:b/>
          <w:bCs/>
          <w:color w:val="17365D" w:themeColor="text2" w:themeShade="BF"/>
          <w:sz w:val="22"/>
          <w:szCs w:val="22"/>
          <w:lang w:eastAsia="ja-JP"/>
        </w:rPr>
        <w:t>Marges</w:t>
      </w:r>
      <w:r w:rsidRPr="00E51132">
        <w:rPr>
          <w:sz w:val="22"/>
          <w:szCs w:val="22"/>
          <w:lang w:eastAsia="ja-JP"/>
        </w:rPr>
        <w:t>(en cm)</w:t>
      </w:r>
    </w:p>
    <w:p w:rsidR="00F80CD8" w:rsidRDefault="009109CB" w:rsidP="00F80CD8">
      <w:pPr>
        <w:widowControl w:val="0"/>
        <w:tabs>
          <w:tab w:val="left" w:pos="1418"/>
        </w:tabs>
        <w:autoSpaceDE w:val="0"/>
        <w:autoSpaceDN w:val="0"/>
        <w:adjustRightInd w:val="0"/>
        <w:ind w:left="142"/>
        <w:jc w:val="both"/>
        <w:rPr>
          <w:sz w:val="22"/>
          <w:szCs w:val="22"/>
          <w:lang w:eastAsia="ja-JP"/>
        </w:rPr>
      </w:pPr>
      <w:r w:rsidRPr="00E51132">
        <w:rPr>
          <w:sz w:val="22"/>
          <w:szCs w:val="22"/>
          <w:lang w:eastAsia="ja-JP"/>
        </w:rPr>
        <w:t>Haut</w:t>
      </w:r>
      <w:r w:rsidR="00F80CD8">
        <w:rPr>
          <w:sz w:val="22"/>
          <w:szCs w:val="22"/>
          <w:lang w:eastAsia="ja-JP"/>
        </w:rPr>
        <w:tab/>
      </w:r>
      <w:r w:rsidR="00F80CD8" w:rsidRPr="00E51132">
        <w:rPr>
          <w:sz w:val="22"/>
          <w:szCs w:val="22"/>
          <w:lang w:eastAsia="ja-JP"/>
        </w:rPr>
        <w:t>4,2</w:t>
      </w:r>
    </w:p>
    <w:p w:rsidR="00F80CD8" w:rsidRDefault="00F80CD8" w:rsidP="00F80CD8">
      <w:pPr>
        <w:widowControl w:val="0"/>
        <w:tabs>
          <w:tab w:val="left" w:pos="1418"/>
        </w:tabs>
        <w:autoSpaceDE w:val="0"/>
        <w:autoSpaceDN w:val="0"/>
        <w:adjustRightInd w:val="0"/>
        <w:ind w:left="142"/>
        <w:jc w:val="both"/>
        <w:rPr>
          <w:sz w:val="22"/>
          <w:szCs w:val="22"/>
          <w:lang w:eastAsia="ja-JP"/>
        </w:rPr>
      </w:pPr>
      <w:r>
        <w:rPr>
          <w:sz w:val="22"/>
          <w:szCs w:val="22"/>
          <w:lang w:eastAsia="ja-JP"/>
        </w:rPr>
        <w:t>Bas</w:t>
      </w:r>
      <w:r>
        <w:rPr>
          <w:sz w:val="22"/>
          <w:szCs w:val="22"/>
          <w:lang w:eastAsia="ja-JP"/>
        </w:rPr>
        <w:tab/>
      </w:r>
      <w:r w:rsidRPr="00E51132">
        <w:rPr>
          <w:sz w:val="22"/>
          <w:szCs w:val="22"/>
          <w:lang w:eastAsia="ja-JP"/>
        </w:rPr>
        <w:t>4,2</w:t>
      </w:r>
    </w:p>
    <w:p w:rsidR="00F80CD8" w:rsidRDefault="00F80CD8" w:rsidP="00F80CD8">
      <w:pPr>
        <w:widowControl w:val="0"/>
        <w:tabs>
          <w:tab w:val="left" w:pos="1418"/>
        </w:tabs>
        <w:autoSpaceDE w:val="0"/>
        <w:autoSpaceDN w:val="0"/>
        <w:adjustRightInd w:val="0"/>
        <w:ind w:left="142"/>
        <w:jc w:val="both"/>
        <w:rPr>
          <w:sz w:val="22"/>
          <w:szCs w:val="22"/>
          <w:lang w:eastAsia="ja-JP"/>
        </w:rPr>
      </w:pPr>
      <w:r>
        <w:rPr>
          <w:sz w:val="22"/>
          <w:szCs w:val="22"/>
          <w:lang w:eastAsia="ja-JP"/>
        </w:rPr>
        <w:t>Gauche</w:t>
      </w:r>
      <w:r>
        <w:rPr>
          <w:sz w:val="22"/>
          <w:szCs w:val="22"/>
          <w:lang w:eastAsia="ja-JP"/>
        </w:rPr>
        <w:tab/>
      </w:r>
      <w:r w:rsidRPr="00E51132">
        <w:rPr>
          <w:sz w:val="22"/>
          <w:szCs w:val="22"/>
          <w:lang w:eastAsia="ja-JP"/>
        </w:rPr>
        <w:t>4,5</w:t>
      </w:r>
    </w:p>
    <w:p w:rsidR="00F80CD8" w:rsidRDefault="00F80CD8" w:rsidP="00F80CD8">
      <w:pPr>
        <w:widowControl w:val="0"/>
        <w:tabs>
          <w:tab w:val="left" w:pos="1418"/>
        </w:tabs>
        <w:autoSpaceDE w:val="0"/>
        <w:autoSpaceDN w:val="0"/>
        <w:adjustRightInd w:val="0"/>
        <w:ind w:left="142"/>
        <w:jc w:val="both"/>
        <w:rPr>
          <w:sz w:val="22"/>
          <w:szCs w:val="22"/>
          <w:lang w:eastAsia="ja-JP"/>
        </w:rPr>
      </w:pPr>
      <w:r>
        <w:rPr>
          <w:sz w:val="22"/>
          <w:szCs w:val="22"/>
          <w:lang w:eastAsia="ja-JP"/>
        </w:rPr>
        <w:t>Droite</w:t>
      </w:r>
      <w:r>
        <w:rPr>
          <w:sz w:val="22"/>
          <w:szCs w:val="22"/>
          <w:lang w:eastAsia="ja-JP"/>
        </w:rPr>
        <w:tab/>
      </w:r>
      <w:r w:rsidRPr="00E51132">
        <w:rPr>
          <w:sz w:val="22"/>
          <w:szCs w:val="22"/>
          <w:lang w:eastAsia="ja-JP"/>
        </w:rPr>
        <w:t>4,5</w:t>
      </w:r>
    </w:p>
    <w:p w:rsidR="00F80CD8" w:rsidRDefault="00F80CD8" w:rsidP="00F80CD8">
      <w:pPr>
        <w:widowControl w:val="0"/>
        <w:tabs>
          <w:tab w:val="left" w:pos="1418"/>
        </w:tabs>
        <w:autoSpaceDE w:val="0"/>
        <w:autoSpaceDN w:val="0"/>
        <w:adjustRightInd w:val="0"/>
        <w:ind w:left="142"/>
        <w:jc w:val="both"/>
        <w:rPr>
          <w:sz w:val="22"/>
          <w:szCs w:val="22"/>
          <w:lang w:eastAsia="ja-JP"/>
        </w:rPr>
      </w:pPr>
      <w:r>
        <w:rPr>
          <w:sz w:val="22"/>
          <w:szCs w:val="22"/>
          <w:lang w:eastAsia="ja-JP"/>
        </w:rPr>
        <w:t>Reliure</w:t>
      </w:r>
      <w:r>
        <w:rPr>
          <w:sz w:val="22"/>
          <w:szCs w:val="22"/>
          <w:lang w:eastAsia="ja-JP"/>
        </w:rPr>
        <w:tab/>
      </w:r>
      <w:r w:rsidRPr="00E51132">
        <w:rPr>
          <w:sz w:val="22"/>
          <w:szCs w:val="22"/>
          <w:lang w:eastAsia="ja-JP"/>
        </w:rPr>
        <w:t>0</w:t>
      </w:r>
    </w:p>
    <w:p w:rsidR="00F80CD8" w:rsidRDefault="00F80CD8" w:rsidP="00F80CD8">
      <w:pPr>
        <w:widowControl w:val="0"/>
        <w:tabs>
          <w:tab w:val="left" w:pos="1418"/>
        </w:tabs>
        <w:autoSpaceDE w:val="0"/>
        <w:autoSpaceDN w:val="0"/>
        <w:adjustRightInd w:val="0"/>
        <w:ind w:left="142"/>
        <w:jc w:val="both"/>
        <w:rPr>
          <w:rFonts w:ascii="MS Mincho" w:eastAsia="MS Mincho" w:hAnsi="MS Mincho" w:cs="MS Mincho"/>
          <w:sz w:val="22"/>
          <w:szCs w:val="22"/>
          <w:lang w:eastAsia="ja-JP"/>
        </w:rPr>
      </w:pPr>
      <w:r>
        <w:rPr>
          <w:sz w:val="22"/>
          <w:szCs w:val="22"/>
          <w:lang w:eastAsia="ja-JP"/>
        </w:rPr>
        <w:t xml:space="preserve">En-tête </w:t>
      </w:r>
      <w:r>
        <w:rPr>
          <w:sz w:val="22"/>
          <w:szCs w:val="22"/>
          <w:lang w:eastAsia="ja-JP"/>
        </w:rPr>
        <w:tab/>
      </w:r>
      <w:r w:rsidRPr="00E51132">
        <w:rPr>
          <w:sz w:val="22"/>
          <w:szCs w:val="22"/>
          <w:lang w:eastAsia="ja-JP"/>
        </w:rPr>
        <w:t>3</w:t>
      </w:r>
    </w:p>
    <w:p w:rsidR="009109CB" w:rsidRPr="00E51132" w:rsidRDefault="009109CB" w:rsidP="00F80CD8">
      <w:pPr>
        <w:widowControl w:val="0"/>
        <w:tabs>
          <w:tab w:val="left" w:pos="1418"/>
        </w:tabs>
        <w:autoSpaceDE w:val="0"/>
        <w:autoSpaceDN w:val="0"/>
        <w:adjustRightInd w:val="0"/>
        <w:ind w:left="142"/>
        <w:jc w:val="both"/>
        <w:rPr>
          <w:sz w:val="22"/>
          <w:szCs w:val="22"/>
          <w:lang w:eastAsia="ja-JP"/>
        </w:rPr>
      </w:pPr>
      <w:r w:rsidRPr="00E51132">
        <w:rPr>
          <w:sz w:val="22"/>
          <w:szCs w:val="22"/>
          <w:lang w:eastAsia="ja-JP"/>
        </w:rPr>
        <w:t>Pied de page</w:t>
      </w:r>
      <w:r w:rsidR="00F80CD8">
        <w:rPr>
          <w:sz w:val="22"/>
          <w:szCs w:val="22"/>
          <w:lang w:eastAsia="ja-JP"/>
        </w:rPr>
        <w:tab/>
      </w:r>
      <w:r w:rsidR="00F80CD8" w:rsidRPr="00E51132">
        <w:rPr>
          <w:sz w:val="22"/>
          <w:szCs w:val="22"/>
          <w:lang w:eastAsia="ja-JP"/>
        </w:rPr>
        <w:t>4</w:t>
      </w:r>
    </w:p>
    <w:p w:rsidR="009109CB" w:rsidRPr="00E51132" w:rsidRDefault="009109CB" w:rsidP="009109CB">
      <w:pPr>
        <w:widowControl w:val="0"/>
        <w:autoSpaceDE w:val="0"/>
        <w:autoSpaceDN w:val="0"/>
        <w:adjustRightInd w:val="0"/>
        <w:jc w:val="both"/>
        <w:rPr>
          <w:sz w:val="22"/>
          <w:szCs w:val="22"/>
          <w:lang w:eastAsia="ja-JP"/>
        </w:rPr>
      </w:pPr>
    </w:p>
    <w:p w:rsidR="009109CB" w:rsidRPr="00E51132" w:rsidRDefault="009109CB" w:rsidP="009109CB">
      <w:pPr>
        <w:widowControl w:val="0"/>
        <w:autoSpaceDE w:val="0"/>
        <w:autoSpaceDN w:val="0"/>
        <w:adjustRightInd w:val="0"/>
        <w:jc w:val="both"/>
        <w:rPr>
          <w:sz w:val="22"/>
          <w:szCs w:val="22"/>
          <w:lang w:eastAsia="ja-JP"/>
        </w:rPr>
      </w:pPr>
      <w:r w:rsidRPr="00E51132">
        <w:rPr>
          <w:sz w:val="22"/>
          <w:szCs w:val="22"/>
          <w:lang w:eastAsia="ja-JP"/>
        </w:rPr>
        <w:t>Pas de feuille de style, éviter les sauts de sections (pour éviter les problèmes de pagination ou de formatage des actes).</w:t>
      </w:r>
    </w:p>
    <w:p w:rsidR="009109CB" w:rsidRPr="00E51132" w:rsidRDefault="009109CB" w:rsidP="009109CB">
      <w:pPr>
        <w:widowControl w:val="0"/>
        <w:autoSpaceDE w:val="0"/>
        <w:autoSpaceDN w:val="0"/>
        <w:adjustRightInd w:val="0"/>
        <w:jc w:val="both"/>
        <w:rPr>
          <w:b/>
          <w:bCs/>
          <w:sz w:val="22"/>
          <w:szCs w:val="22"/>
          <w:lang w:eastAsia="ja-JP"/>
        </w:rPr>
      </w:pPr>
    </w:p>
    <w:p w:rsidR="009109CB" w:rsidRPr="00F80CD8" w:rsidRDefault="009109CB" w:rsidP="009109CB">
      <w:pPr>
        <w:widowControl w:val="0"/>
        <w:autoSpaceDE w:val="0"/>
        <w:autoSpaceDN w:val="0"/>
        <w:adjustRightInd w:val="0"/>
        <w:jc w:val="both"/>
        <w:rPr>
          <w:color w:val="17365D" w:themeColor="text2" w:themeShade="BF"/>
          <w:sz w:val="22"/>
          <w:szCs w:val="22"/>
          <w:lang w:eastAsia="ja-JP"/>
        </w:rPr>
      </w:pPr>
      <w:r w:rsidRPr="00F80CD8">
        <w:rPr>
          <w:b/>
          <w:bCs/>
          <w:color w:val="17365D" w:themeColor="text2" w:themeShade="BF"/>
          <w:sz w:val="22"/>
          <w:szCs w:val="22"/>
          <w:lang w:eastAsia="ja-JP"/>
        </w:rPr>
        <w:t>Taille des communications</w:t>
      </w:r>
    </w:p>
    <w:p w:rsidR="009109CB" w:rsidRPr="00E51132" w:rsidRDefault="009109CB" w:rsidP="009109CB">
      <w:pPr>
        <w:widowControl w:val="0"/>
        <w:autoSpaceDE w:val="0"/>
        <w:autoSpaceDN w:val="0"/>
        <w:adjustRightInd w:val="0"/>
        <w:jc w:val="both"/>
        <w:rPr>
          <w:sz w:val="22"/>
          <w:szCs w:val="22"/>
          <w:lang w:eastAsia="ja-JP"/>
        </w:rPr>
      </w:pPr>
      <w:r w:rsidRPr="00E51132">
        <w:rPr>
          <w:bCs/>
          <w:sz w:val="22"/>
          <w:szCs w:val="22"/>
          <w:lang w:eastAsia="ja-JP"/>
        </w:rPr>
        <w:t>30.000 caractères (espaces compris) maximum, en incluant dans le calcul les notes et les références</w:t>
      </w:r>
      <w:r w:rsidRPr="00E51132">
        <w:rPr>
          <w:sz w:val="22"/>
          <w:szCs w:val="22"/>
          <w:lang w:eastAsia="ja-JP"/>
        </w:rPr>
        <w:t xml:space="preserve"> (simple interlignage ; graphiques et références bibliographiques comprises). </w:t>
      </w:r>
      <w:r w:rsidRPr="00E51132">
        <w:rPr>
          <w:rFonts w:ascii="MS Mincho" w:eastAsia="MS Mincho" w:hAnsi="MS Mincho" w:cs="MS Mincho" w:hint="eastAsia"/>
          <w:sz w:val="22"/>
          <w:szCs w:val="22"/>
          <w:lang w:eastAsia="ja-JP"/>
        </w:rPr>
        <w:t> </w:t>
      </w:r>
      <w:r w:rsidRPr="00E51132">
        <w:rPr>
          <w:sz w:val="22"/>
          <w:szCs w:val="22"/>
          <w:lang w:eastAsia="ja-JP"/>
        </w:rPr>
        <w:t>Ce volume ne comprend pas la page de présentation mentionnant le titre et le nom de(s) l’auteur(s) —voir la rubrique C.</w:t>
      </w:r>
    </w:p>
    <w:p w:rsidR="009109CB" w:rsidRPr="00E51132" w:rsidRDefault="009109CB" w:rsidP="009109CB">
      <w:pPr>
        <w:widowControl w:val="0"/>
        <w:autoSpaceDE w:val="0"/>
        <w:autoSpaceDN w:val="0"/>
        <w:adjustRightInd w:val="0"/>
        <w:rPr>
          <w:sz w:val="22"/>
          <w:szCs w:val="22"/>
          <w:lang w:eastAsia="ja-JP"/>
        </w:rPr>
      </w:pPr>
    </w:p>
    <w:p w:rsidR="009109CB" w:rsidRPr="00E51132" w:rsidRDefault="009109CB" w:rsidP="009109CB">
      <w:pPr>
        <w:widowControl w:val="0"/>
        <w:autoSpaceDE w:val="0"/>
        <w:autoSpaceDN w:val="0"/>
        <w:adjustRightInd w:val="0"/>
        <w:jc w:val="both"/>
        <w:rPr>
          <w:sz w:val="22"/>
          <w:szCs w:val="22"/>
          <w:lang w:eastAsia="ja-JP"/>
        </w:rPr>
      </w:pPr>
      <w:r w:rsidRPr="00F80CD8">
        <w:rPr>
          <w:b/>
          <w:bCs/>
          <w:color w:val="17365D" w:themeColor="text2" w:themeShade="BF"/>
          <w:sz w:val="22"/>
          <w:szCs w:val="22"/>
          <w:lang w:eastAsia="ja-JP"/>
        </w:rPr>
        <w:t>Interlignage</w:t>
      </w:r>
      <w:r w:rsidRPr="00E51132">
        <w:rPr>
          <w:sz w:val="22"/>
          <w:szCs w:val="22"/>
          <w:lang w:eastAsia="ja-JP"/>
        </w:rPr>
        <w:t xml:space="preserve"> : </w:t>
      </w:r>
      <w:r w:rsidRPr="00E51132">
        <w:rPr>
          <w:bCs/>
          <w:sz w:val="22"/>
          <w:szCs w:val="22"/>
          <w:lang w:eastAsia="ja-JP"/>
        </w:rPr>
        <w:t>simple</w:t>
      </w:r>
      <w:r w:rsidRPr="00E51132">
        <w:rPr>
          <w:sz w:val="22"/>
          <w:szCs w:val="22"/>
          <w:lang w:eastAsia="ja-JP"/>
        </w:rPr>
        <w:t>(corps du texte, encadrés, annexes).</w:t>
      </w:r>
      <w:r w:rsidRPr="00E51132">
        <w:rPr>
          <w:rFonts w:ascii="MS Mincho" w:eastAsia="MS Mincho" w:hAnsi="MS Mincho" w:cs="MS Mincho" w:hint="eastAsia"/>
          <w:sz w:val="22"/>
          <w:szCs w:val="22"/>
          <w:lang w:eastAsia="ja-JP"/>
        </w:rPr>
        <w:t> </w:t>
      </w:r>
    </w:p>
    <w:p w:rsidR="009109CB" w:rsidRPr="00E51132" w:rsidRDefault="009109CB" w:rsidP="009109CB">
      <w:pPr>
        <w:widowControl w:val="0"/>
        <w:autoSpaceDE w:val="0"/>
        <w:autoSpaceDN w:val="0"/>
        <w:adjustRightInd w:val="0"/>
        <w:jc w:val="both"/>
        <w:rPr>
          <w:sz w:val="22"/>
          <w:szCs w:val="22"/>
          <w:lang w:eastAsia="ja-JP"/>
        </w:rPr>
      </w:pPr>
    </w:p>
    <w:p w:rsidR="009109CB" w:rsidRPr="00E51132" w:rsidRDefault="009109CB" w:rsidP="009109CB">
      <w:pPr>
        <w:widowControl w:val="0"/>
        <w:autoSpaceDE w:val="0"/>
        <w:autoSpaceDN w:val="0"/>
        <w:adjustRightInd w:val="0"/>
        <w:jc w:val="both"/>
        <w:rPr>
          <w:sz w:val="22"/>
          <w:szCs w:val="22"/>
          <w:lang w:eastAsia="ja-JP"/>
        </w:rPr>
      </w:pPr>
      <w:r w:rsidRPr="00F80CD8">
        <w:rPr>
          <w:b/>
          <w:bCs/>
          <w:color w:val="17365D" w:themeColor="text2" w:themeShade="BF"/>
          <w:sz w:val="22"/>
          <w:szCs w:val="22"/>
          <w:lang w:eastAsia="ja-JP"/>
        </w:rPr>
        <w:t>Police de caractères </w:t>
      </w:r>
      <w:r w:rsidRPr="00E51132">
        <w:rPr>
          <w:b/>
          <w:bCs/>
          <w:sz w:val="22"/>
          <w:szCs w:val="22"/>
          <w:lang w:eastAsia="ja-JP"/>
        </w:rPr>
        <w:t xml:space="preserve">: </w:t>
      </w:r>
      <w:r w:rsidRPr="00E51132">
        <w:rPr>
          <w:i/>
          <w:iCs/>
          <w:sz w:val="22"/>
          <w:szCs w:val="22"/>
          <w:lang w:eastAsia="ja-JP"/>
        </w:rPr>
        <w:t>Times ou Times New Roman</w:t>
      </w:r>
    </w:p>
    <w:p w:rsidR="009109CB" w:rsidRPr="00E51132" w:rsidRDefault="009109CB" w:rsidP="009109CB">
      <w:pPr>
        <w:widowControl w:val="0"/>
        <w:autoSpaceDE w:val="0"/>
        <w:autoSpaceDN w:val="0"/>
        <w:adjustRightInd w:val="0"/>
        <w:jc w:val="both"/>
        <w:rPr>
          <w:bCs/>
          <w:sz w:val="22"/>
          <w:szCs w:val="22"/>
          <w:u w:val="single"/>
          <w:lang w:eastAsia="ja-JP"/>
        </w:rPr>
      </w:pPr>
    </w:p>
    <w:p w:rsidR="00F80CD8" w:rsidRDefault="009109CB" w:rsidP="00F80CD8">
      <w:pPr>
        <w:widowControl w:val="0"/>
        <w:autoSpaceDE w:val="0"/>
        <w:autoSpaceDN w:val="0"/>
        <w:adjustRightInd w:val="0"/>
        <w:ind w:left="284"/>
        <w:jc w:val="both"/>
        <w:rPr>
          <w:rFonts w:ascii="MS Mincho" w:eastAsia="MS Mincho" w:hAnsi="MS Mincho" w:cs="MS Mincho"/>
          <w:sz w:val="22"/>
          <w:szCs w:val="22"/>
          <w:lang w:eastAsia="ja-JP"/>
        </w:rPr>
      </w:pPr>
      <w:r w:rsidRPr="00E51132">
        <w:rPr>
          <w:bCs/>
          <w:sz w:val="22"/>
          <w:szCs w:val="22"/>
          <w:u w:val="single"/>
          <w:lang w:eastAsia="ja-JP"/>
        </w:rPr>
        <w:t>Titre de la communication</w:t>
      </w:r>
      <w:r w:rsidRPr="00E51132">
        <w:rPr>
          <w:sz w:val="22"/>
          <w:szCs w:val="22"/>
          <w:lang w:eastAsia="ja-JP"/>
        </w:rPr>
        <w:t xml:space="preserve">: en taille 12, texte centré, caractères gras (pas de capitales). </w:t>
      </w:r>
      <w:r w:rsidRPr="00E51132">
        <w:rPr>
          <w:rFonts w:ascii="MS Mincho" w:eastAsia="MS Mincho" w:hAnsi="MS Mincho" w:cs="MS Mincho" w:hint="eastAsia"/>
          <w:sz w:val="22"/>
          <w:szCs w:val="22"/>
          <w:lang w:eastAsia="ja-JP"/>
        </w:rPr>
        <w:t> </w:t>
      </w:r>
    </w:p>
    <w:p w:rsidR="009109CB" w:rsidRPr="00E51132" w:rsidRDefault="009109CB" w:rsidP="00F80CD8">
      <w:pPr>
        <w:widowControl w:val="0"/>
        <w:autoSpaceDE w:val="0"/>
        <w:autoSpaceDN w:val="0"/>
        <w:adjustRightInd w:val="0"/>
        <w:ind w:left="284"/>
        <w:jc w:val="both"/>
        <w:rPr>
          <w:sz w:val="22"/>
          <w:szCs w:val="22"/>
          <w:lang w:eastAsia="ja-JP"/>
        </w:rPr>
      </w:pPr>
      <w:r w:rsidRPr="00F80CD8">
        <w:rPr>
          <w:sz w:val="22"/>
          <w:szCs w:val="22"/>
          <w:u w:val="single"/>
          <w:lang w:eastAsia="ja-JP"/>
        </w:rPr>
        <w:t>Mention du (des) prénom(s) et du (des) nom(s) de(s) l’auteur(s)</w:t>
      </w:r>
      <w:r w:rsidRPr="00E51132">
        <w:rPr>
          <w:sz w:val="22"/>
          <w:szCs w:val="22"/>
          <w:lang w:eastAsia="ja-JP"/>
        </w:rPr>
        <w:t xml:space="preserve"> : taille 12, texte centré, caractères gras et en italique (pas de capitales).</w:t>
      </w:r>
    </w:p>
    <w:p w:rsidR="009109CB" w:rsidRPr="00E51132" w:rsidRDefault="009109CB" w:rsidP="00F80CD8">
      <w:pPr>
        <w:widowControl w:val="0"/>
        <w:autoSpaceDE w:val="0"/>
        <w:autoSpaceDN w:val="0"/>
        <w:adjustRightInd w:val="0"/>
        <w:ind w:left="284"/>
        <w:jc w:val="both"/>
        <w:rPr>
          <w:sz w:val="22"/>
          <w:szCs w:val="22"/>
          <w:lang w:eastAsia="ja-JP"/>
        </w:rPr>
      </w:pPr>
      <w:r w:rsidRPr="00E51132">
        <w:rPr>
          <w:sz w:val="22"/>
          <w:szCs w:val="22"/>
          <w:lang w:eastAsia="ja-JP"/>
        </w:rPr>
        <w:t xml:space="preserve">Mention de la fonction et du rattachement scientifique en note 1 de bas de page. </w:t>
      </w:r>
    </w:p>
    <w:p w:rsidR="009109CB" w:rsidRPr="00E51132" w:rsidRDefault="009109CB" w:rsidP="00F80CD8">
      <w:pPr>
        <w:widowControl w:val="0"/>
        <w:autoSpaceDE w:val="0"/>
        <w:autoSpaceDN w:val="0"/>
        <w:adjustRightInd w:val="0"/>
        <w:ind w:left="284"/>
        <w:jc w:val="both"/>
        <w:rPr>
          <w:sz w:val="22"/>
          <w:szCs w:val="22"/>
          <w:u w:val="single"/>
          <w:lang w:eastAsia="ja-JP"/>
        </w:rPr>
      </w:pPr>
    </w:p>
    <w:p w:rsidR="009109CB" w:rsidRPr="00E51132" w:rsidRDefault="009109CB" w:rsidP="00F80CD8">
      <w:pPr>
        <w:widowControl w:val="0"/>
        <w:autoSpaceDE w:val="0"/>
        <w:autoSpaceDN w:val="0"/>
        <w:adjustRightInd w:val="0"/>
        <w:ind w:left="284"/>
        <w:jc w:val="both"/>
        <w:rPr>
          <w:sz w:val="22"/>
          <w:szCs w:val="22"/>
          <w:lang w:eastAsia="ja-JP"/>
        </w:rPr>
      </w:pPr>
      <w:r w:rsidRPr="00E51132">
        <w:rPr>
          <w:sz w:val="22"/>
          <w:szCs w:val="22"/>
          <w:u w:val="single"/>
          <w:lang w:eastAsia="ja-JP"/>
        </w:rPr>
        <w:t xml:space="preserve">Résumé </w:t>
      </w:r>
      <w:r w:rsidRPr="00E51132">
        <w:rPr>
          <w:sz w:val="22"/>
          <w:szCs w:val="22"/>
          <w:lang w:eastAsia="ja-JP"/>
        </w:rPr>
        <w:t xml:space="preserve">(4 à 10 lignes) et </w:t>
      </w:r>
      <w:r w:rsidRPr="00E51132">
        <w:rPr>
          <w:sz w:val="22"/>
          <w:szCs w:val="22"/>
          <w:u w:val="single"/>
          <w:lang w:eastAsia="ja-JP"/>
        </w:rPr>
        <w:t>mots-clés</w:t>
      </w:r>
      <w:r w:rsidRPr="00E51132">
        <w:rPr>
          <w:sz w:val="22"/>
          <w:szCs w:val="22"/>
          <w:lang w:eastAsia="ja-JP"/>
        </w:rPr>
        <w:t xml:space="preserve"> (limités à 6), </w:t>
      </w:r>
      <w:r w:rsidRPr="00E51132">
        <w:rPr>
          <w:i/>
          <w:sz w:val="22"/>
          <w:szCs w:val="22"/>
          <w:u w:val="single"/>
          <w:lang w:eastAsia="ja-JP"/>
        </w:rPr>
        <w:t>abstract</w:t>
      </w:r>
      <w:r w:rsidRPr="00E51132">
        <w:rPr>
          <w:bCs/>
          <w:i/>
          <w:iCs/>
          <w:sz w:val="22"/>
          <w:szCs w:val="22"/>
          <w:u w:val="single"/>
          <w:lang w:eastAsia="ja-JP"/>
        </w:rPr>
        <w:t>et keywords</w:t>
      </w:r>
      <w:r w:rsidRPr="00E51132">
        <w:rPr>
          <w:bCs/>
          <w:iCs/>
          <w:sz w:val="22"/>
          <w:szCs w:val="22"/>
          <w:u w:val="single"/>
          <w:lang w:eastAsia="ja-JP"/>
        </w:rPr>
        <w:t> </w:t>
      </w:r>
      <w:r w:rsidRPr="00E51132">
        <w:rPr>
          <w:bCs/>
          <w:iCs/>
          <w:sz w:val="22"/>
          <w:szCs w:val="22"/>
          <w:lang w:eastAsia="ja-JP"/>
        </w:rPr>
        <w:t>: taille 10</w:t>
      </w:r>
    </w:p>
    <w:p w:rsidR="009109CB" w:rsidRPr="00E51132" w:rsidRDefault="009109CB" w:rsidP="00F80CD8">
      <w:pPr>
        <w:widowControl w:val="0"/>
        <w:autoSpaceDE w:val="0"/>
        <w:autoSpaceDN w:val="0"/>
        <w:adjustRightInd w:val="0"/>
        <w:ind w:left="284"/>
        <w:jc w:val="both"/>
        <w:rPr>
          <w:sz w:val="22"/>
          <w:szCs w:val="22"/>
          <w:u w:val="single"/>
          <w:lang w:eastAsia="ja-JP"/>
        </w:rPr>
      </w:pPr>
    </w:p>
    <w:p w:rsidR="009109CB" w:rsidRPr="00E51132" w:rsidRDefault="009109CB" w:rsidP="00F80CD8">
      <w:pPr>
        <w:widowControl w:val="0"/>
        <w:autoSpaceDE w:val="0"/>
        <w:autoSpaceDN w:val="0"/>
        <w:adjustRightInd w:val="0"/>
        <w:ind w:left="284"/>
        <w:jc w:val="both"/>
        <w:rPr>
          <w:sz w:val="22"/>
          <w:szCs w:val="22"/>
          <w:lang w:eastAsia="ja-JP"/>
        </w:rPr>
      </w:pPr>
      <w:r w:rsidRPr="00E51132">
        <w:rPr>
          <w:sz w:val="22"/>
          <w:szCs w:val="22"/>
          <w:u w:val="single"/>
          <w:lang w:eastAsia="ja-JP"/>
        </w:rPr>
        <w:t>Corps du texte</w:t>
      </w:r>
      <w:r w:rsidRPr="00E51132">
        <w:rPr>
          <w:sz w:val="22"/>
          <w:szCs w:val="22"/>
          <w:lang w:eastAsia="ja-JP"/>
        </w:rPr>
        <w:t xml:space="preserve"> : taille 11, texte justifié.</w:t>
      </w:r>
      <w:r w:rsidRPr="00E51132">
        <w:rPr>
          <w:rFonts w:ascii="MS Mincho" w:eastAsia="MS Mincho" w:hAnsi="MS Mincho" w:cs="MS Mincho" w:hint="eastAsia"/>
          <w:sz w:val="22"/>
          <w:szCs w:val="22"/>
          <w:lang w:eastAsia="ja-JP"/>
        </w:rPr>
        <w:t> </w:t>
      </w:r>
    </w:p>
    <w:p w:rsidR="009109CB" w:rsidRPr="00E51132" w:rsidRDefault="009109CB" w:rsidP="00F80CD8">
      <w:pPr>
        <w:widowControl w:val="0"/>
        <w:autoSpaceDE w:val="0"/>
        <w:autoSpaceDN w:val="0"/>
        <w:adjustRightInd w:val="0"/>
        <w:ind w:left="284"/>
        <w:jc w:val="both"/>
        <w:rPr>
          <w:sz w:val="22"/>
          <w:szCs w:val="22"/>
          <w:lang w:eastAsia="ja-JP"/>
        </w:rPr>
      </w:pPr>
      <w:r w:rsidRPr="00E51132">
        <w:rPr>
          <w:sz w:val="22"/>
          <w:szCs w:val="22"/>
          <w:lang w:eastAsia="ja-JP"/>
        </w:rPr>
        <w:t xml:space="preserve">Les citations d’auteurs dans le corps du texte sont du type (Meirieu, 2012, p. 143) la présentation complète figurant dans les références bibliographiques. </w:t>
      </w:r>
    </w:p>
    <w:p w:rsidR="009109CB" w:rsidRPr="00E51132" w:rsidRDefault="009109CB" w:rsidP="00F80CD8">
      <w:pPr>
        <w:widowControl w:val="0"/>
        <w:autoSpaceDE w:val="0"/>
        <w:autoSpaceDN w:val="0"/>
        <w:adjustRightInd w:val="0"/>
        <w:ind w:left="284"/>
        <w:jc w:val="both"/>
        <w:rPr>
          <w:bCs/>
          <w:sz w:val="22"/>
          <w:szCs w:val="22"/>
          <w:u w:val="single"/>
          <w:lang w:eastAsia="ja-JP"/>
        </w:rPr>
      </w:pPr>
    </w:p>
    <w:p w:rsidR="009109CB" w:rsidRPr="00E51132" w:rsidRDefault="009109CB" w:rsidP="00F80CD8">
      <w:pPr>
        <w:widowControl w:val="0"/>
        <w:autoSpaceDE w:val="0"/>
        <w:autoSpaceDN w:val="0"/>
        <w:adjustRightInd w:val="0"/>
        <w:ind w:left="284"/>
        <w:jc w:val="both"/>
        <w:rPr>
          <w:sz w:val="22"/>
          <w:szCs w:val="22"/>
          <w:lang w:eastAsia="ja-JP"/>
        </w:rPr>
      </w:pPr>
      <w:r w:rsidRPr="00E51132">
        <w:rPr>
          <w:bCs/>
          <w:sz w:val="22"/>
          <w:szCs w:val="22"/>
          <w:u w:val="single"/>
          <w:lang w:eastAsia="ja-JP"/>
        </w:rPr>
        <w:t>Notes de bas de page</w:t>
      </w:r>
      <w:r w:rsidRPr="00E51132">
        <w:rPr>
          <w:sz w:val="22"/>
          <w:szCs w:val="22"/>
          <w:u w:val="single"/>
          <w:lang w:eastAsia="ja-JP"/>
        </w:rPr>
        <w:t> </w:t>
      </w:r>
      <w:r w:rsidRPr="00E51132">
        <w:rPr>
          <w:sz w:val="22"/>
          <w:szCs w:val="22"/>
          <w:lang w:eastAsia="ja-JP"/>
        </w:rPr>
        <w:t xml:space="preserve">: taille 9, texte justifié. </w:t>
      </w:r>
    </w:p>
    <w:p w:rsidR="009109CB" w:rsidRPr="00E51132" w:rsidRDefault="009109CB" w:rsidP="00F80CD8">
      <w:pPr>
        <w:widowControl w:val="0"/>
        <w:autoSpaceDE w:val="0"/>
        <w:autoSpaceDN w:val="0"/>
        <w:adjustRightInd w:val="0"/>
        <w:ind w:left="284"/>
        <w:jc w:val="both"/>
        <w:rPr>
          <w:sz w:val="22"/>
          <w:szCs w:val="22"/>
          <w:lang w:eastAsia="ja-JP"/>
        </w:rPr>
      </w:pPr>
      <w:r w:rsidRPr="00E51132">
        <w:rPr>
          <w:bCs/>
          <w:sz w:val="22"/>
          <w:szCs w:val="22"/>
          <w:lang w:eastAsia="ja-JP"/>
        </w:rPr>
        <w:t xml:space="preserve">La présence de ces notes de bas de page exclut absolument l’existence de notes en fin de communication. </w:t>
      </w:r>
      <w:r w:rsidRPr="00E51132">
        <w:rPr>
          <w:rFonts w:ascii="MS Mincho" w:eastAsia="MS Mincho" w:hAnsi="MS Mincho" w:cs="MS Mincho" w:hint="eastAsia"/>
          <w:bCs/>
          <w:sz w:val="22"/>
          <w:szCs w:val="22"/>
          <w:lang w:eastAsia="ja-JP"/>
        </w:rPr>
        <w:t> </w:t>
      </w:r>
      <w:r w:rsidRPr="00E51132">
        <w:rPr>
          <w:sz w:val="22"/>
          <w:szCs w:val="22"/>
          <w:lang w:eastAsia="ja-JP"/>
        </w:rPr>
        <w:t>On ne doit pas sauter de lignes entre les notes de bas de page.</w:t>
      </w:r>
      <w:r w:rsidRPr="00E51132">
        <w:rPr>
          <w:rFonts w:ascii="MS Mincho" w:eastAsia="MS Mincho" w:hAnsi="MS Mincho" w:cs="MS Mincho" w:hint="eastAsia"/>
          <w:sz w:val="22"/>
          <w:szCs w:val="22"/>
          <w:lang w:eastAsia="ja-JP"/>
        </w:rPr>
        <w:t> </w:t>
      </w:r>
      <w:r w:rsidRPr="00E51132">
        <w:rPr>
          <w:sz w:val="22"/>
          <w:szCs w:val="22"/>
          <w:lang w:eastAsia="ja-JP"/>
        </w:rPr>
        <w:t xml:space="preserve"> Les appels pour les notes de bas de page, figurant dans le texte, doivent être positionnés « en exposant » et doivent avoir le même corps que le texte des notes (taille 9).</w:t>
      </w:r>
    </w:p>
    <w:p w:rsidR="00F80CD8" w:rsidRDefault="00F80CD8" w:rsidP="00F80CD8">
      <w:pPr>
        <w:widowControl w:val="0"/>
        <w:autoSpaceDE w:val="0"/>
        <w:autoSpaceDN w:val="0"/>
        <w:adjustRightInd w:val="0"/>
        <w:ind w:left="284"/>
        <w:jc w:val="both"/>
        <w:rPr>
          <w:sz w:val="22"/>
          <w:szCs w:val="22"/>
          <w:u w:val="single"/>
          <w:lang w:eastAsia="ja-JP"/>
        </w:rPr>
      </w:pPr>
    </w:p>
    <w:p w:rsidR="009109CB" w:rsidRPr="00E51132" w:rsidRDefault="009109CB" w:rsidP="00F80CD8">
      <w:pPr>
        <w:widowControl w:val="0"/>
        <w:autoSpaceDE w:val="0"/>
        <w:autoSpaceDN w:val="0"/>
        <w:adjustRightInd w:val="0"/>
        <w:ind w:left="284"/>
        <w:jc w:val="both"/>
        <w:rPr>
          <w:sz w:val="22"/>
          <w:szCs w:val="22"/>
          <w:lang w:eastAsia="ja-JP"/>
        </w:rPr>
      </w:pPr>
      <w:r w:rsidRPr="00E51132">
        <w:rPr>
          <w:sz w:val="22"/>
          <w:szCs w:val="22"/>
          <w:u w:val="single"/>
          <w:lang w:eastAsia="ja-JP"/>
        </w:rPr>
        <w:t>Références bibliographiques</w:t>
      </w:r>
      <w:r w:rsidRPr="00E51132">
        <w:rPr>
          <w:sz w:val="22"/>
          <w:szCs w:val="22"/>
          <w:lang w:eastAsia="ja-JP"/>
        </w:rPr>
        <w:t> : taille 10</w:t>
      </w:r>
    </w:p>
    <w:p w:rsidR="00C046E3" w:rsidRPr="00E51132" w:rsidRDefault="00C046E3" w:rsidP="009109CB">
      <w:pPr>
        <w:widowControl w:val="0"/>
        <w:autoSpaceDE w:val="0"/>
        <w:autoSpaceDN w:val="0"/>
        <w:adjustRightInd w:val="0"/>
        <w:jc w:val="both"/>
        <w:rPr>
          <w:sz w:val="22"/>
          <w:szCs w:val="22"/>
          <w:lang w:eastAsia="ja-JP"/>
        </w:rPr>
      </w:pPr>
    </w:p>
    <w:p w:rsidR="009109CB" w:rsidRPr="00F80CD8" w:rsidRDefault="009109CB" w:rsidP="009109CB">
      <w:pPr>
        <w:widowControl w:val="0"/>
        <w:autoSpaceDE w:val="0"/>
        <w:autoSpaceDN w:val="0"/>
        <w:adjustRightInd w:val="0"/>
        <w:jc w:val="both"/>
        <w:rPr>
          <w:color w:val="17365D" w:themeColor="text2" w:themeShade="BF"/>
          <w:sz w:val="22"/>
          <w:szCs w:val="22"/>
          <w:lang w:eastAsia="ja-JP"/>
        </w:rPr>
      </w:pPr>
      <w:r w:rsidRPr="00F80CD8">
        <w:rPr>
          <w:b/>
          <w:bCs/>
          <w:color w:val="17365D" w:themeColor="text2" w:themeShade="BF"/>
          <w:sz w:val="22"/>
          <w:szCs w:val="22"/>
          <w:lang w:eastAsia="ja-JP"/>
        </w:rPr>
        <w:t>Numérotation des pages</w:t>
      </w:r>
    </w:p>
    <w:p w:rsidR="009109CB" w:rsidRPr="00E51132" w:rsidRDefault="009109CB" w:rsidP="009109CB">
      <w:pPr>
        <w:widowControl w:val="0"/>
        <w:autoSpaceDE w:val="0"/>
        <w:autoSpaceDN w:val="0"/>
        <w:adjustRightInd w:val="0"/>
        <w:jc w:val="both"/>
        <w:rPr>
          <w:sz w:val="22"/>
          <w:szCs w:val="22"/>
          <w:lang w:eastAsia="ja-JP"/>
        </w:rPr>
      </w:pPr>
      <w:r w:rsidRPr="00E51132">
        <w:rPr>
          <w:sz w:val="22"/>
          <w:szCs w:val="22"/>
          <w:lang w:eastAsia="ja-JP"/>
        </w:rPr>
        <w:t>Bas de page, positionnement central (taille12).</w:t>
      </w:r>
    </w:p>
    <w:p w:rsidR="00C046E3" w:rsidRDefault="00C046E3" w:rsidP="009109CB">
      <w:pPr>
        <w:widowControl w:val="0"/>
        <w:autoSpaceDE w:val="0"/>
        <w:autoSpaceDN w:val="0"/>
        <w:adjustRightInd w:val="0"/>
        <w:jc w:val="both"/>
        <w:rPr>
          <w:b/>
          <w:bCs/>
          <w:color w:val="17365D" w:themeColor="text2" w:themeShade="BF"/>
          <w:sz w:val="22"/>
          <w:szCs w:val="22"/>
          <w:lang w:eastAsia="ja-JP"/>
        </w:rPr>
      </w:pPr>
    </w:p>
    <w:p w:rsidR="009109CB" w:rsidRPr="00F80CD8" w:rsidRDefault="009109CB" w:rsidP="009109CB">
      <w:pPr>
        <w:widowControl w:val="0"/>
        <w:autoSpaceDE w:val="0"/>
        <w:autoSpaceDN w:val="0"/>
        <w:adjustRightInd w:val="0"/>
        <w:jc w:val="both"/>
        <w:rPr>
          <w:color w:val="17365D" w:themeColor="text2" w:themeShade="BF"/>
          <w:sz w:val="22"/>
          <w:szCs w:val="22"/>
          <w:lang w:eastAsia="ja-JP"/>
        </w:rPr>
      </w:pPr>
      <w:r w:rsidRPr="00F80CD8">
        <w:rPr>
          <w:b/>
          <w:bCs/>
          <w:color w:val="17365D" w:themeColor="text2" w:themeShade="BF"/>
          <w:sz w:val="22"/>
          <w:szCs w:val="22"/>
          <w:lang w:eastAsia="ja-JP"/>
        </w:rPr>
        <w:t>Encadrés, cartes et graphiques</w:t>
      </w:r>
    </w:p>
    <w:p w:rsidR="009109CB" w:rsidRPr="00E51132" w:rsidRDefault="009109CB" w:rsidP="009109CB">
      <w:pPr>
        <w:widowControl w:val="0"/>
        <w:autoSpaceDE w:val="0"/>
        <w:autoSpaceDN w:val="0"/>
        <w:adjustRightInd w:val="0"/>
        <w:jc w:val="both"/>
        <w:rPr>
          <w:bCs/>
          <w:sz w:val="22"/>
          <w:szCs w:val="22"/>
          <w:lang w:eastAsia="ja-JP"/>
        </w:rPr>
      </w:pPr>
      <w:r w:rsidRPr="00E51132">
        <w:rPr>
          <w:bCs/>
          <w:sz w:val="22"/>
          <w:szCs w:val="22"/>
          <w:lang w:eastAsia="ja-JP"/>
        </w:rPr>
        <w:t>Ils sont intégrés au sein du texte (et ne sont donc pas renvoyés à la fin du texte).</w:t>
      </w:r>
      <w:r w:rsidRPr="00E51132">
        <w:rPr>
          <w:rFonts w:ascii="MS Mincho" w:eastAsia="MS Mincho" w:hAnsi="MS Mincho" w:cs="MS Mincho" w:hint="eastAsia"/>
          <w:bCs/>
          <w:sz w:val="22"/>
          <w:szCs w:val="22"/>
          <w:lang w:eastAsia="ja-JP"/>
        </w:rPr>
        <w:t> </w:t>
      </w:r>
    </w:p>
    <w:p w:rsidR="009109CB" w:rsidRPr="00E51132" w:rsidRDefault="009109CB" w:rsidP="009109CB">
      <w:pPr>
        <w:widowControl w:val="0"/>
        <w:autoSpaceDE w:val="0"/>
        <w:autoSpaceDN w:val="0"/>
        <w:adjustRightInd w:val="0"/>
        <w:jc w:val="both"/>
        <w:rPr>
          <w:sz w:val="22"/>
          <w:szCs w:val="22"/>
          <w:lang w:eastAsia="ja-JP"/>
        </w:rPr>
      </w:pPr>
    </w:p>
    <w:p w:rsidR="009109CB" w:rsidRPr="00F80CD8" w:rsidRDefault="009109CB" w:rsidP="009109CB">
      <w:pPr>
        <w:widowControl w:val="0"/>
        <w:autoSpaceDE w:val="0"/>
        <w:autoSpaceDN w:val="0"/>
        <w:adjustRightInd w:val="0"/>
        <w:jc w:val="both"/>
        <w:rPr>
          <w:color w:val="17365D" w:themeColor="text2" w:themeShade="BF"/>
          <w:sz w:val="22"/>
          <w:szCs w:val="22"/>
          <w:lang w:eastAsia="ja-JP"/>
        </w:rPr>
      </w:pPr>
      <w:r w:rsidRPr="00F80CD8">
        <w:rPr>
          <w:b/>
          <w:bCs/>
          <w:color w:val="17365D" w:themeColor="text2" w:themeShade="BF"/>
          <w:sz w:val="22"/>
          <w:szCs w:val="22"/>
          <w:lang w:eastAsia="ja-JP"/>
        </w:rPr>
        <w:lastRenderedPageBreak/>
        <w:t>Références bibliographiques</w:t>
      </w:r>
    </w:p>
    <w:p w:rsidR="009109CB" w:rsidRPr="00E51132" w:rsidRDefault="009109CB" w:rsidP="009109CB">
      <w:pPr>
        <w:widowControl w:val="0"/>
        <w:autoSpaceDE w:val="0"/>
        <w:autoSpaceDN w:val="0"/>
        <w:adjustRightInd w:val="0"/>
        <w:jc w:val="both"/>
        <w:rPr>
          <w:sz w:val="22"/>
          <w:szCs w:val="22"/>
          <w:lang w:eastAsia="ja-JP"/>
        </w:rPr>
      </w:pPr>
      <w:r w:rsidRPr="00E51132">
        <w:rPr>
          <w:sz w:val="22"/>
          <w:szCs w:val="22"/>
          <w:lang w:eastAsia="ja-JP"/>
        </w:rPr>
        <w:t xml:space="preserve">D’une manière générale, il ne faut mentionner que les références bibliographiques </w:t>
      </w:r>
      <w:r w:rsidRPr="00E51132">
        <w:rPr>
          <w:bCs/>
          <w:i/>
          <w:iCs/>
          <w:sz w:val="22"/>
          <w:szCs w:val="22"/>
          <w:lang w:eastAsia="ja-JP"/>
        </w:rPr>
        <w:t xml:space="preserve">strictement </w:t>
      </w:r>
      <w:r w:rsidRPr="00E51132">
        <w:rPr>
          <w:sz w:val="22"/>
          <w:szCs w:val="22"/>
          <w:lang w:eastAsia="ja-JP"/>
        </w:rPr>
        <w:t xml:space="preserve">concernées par l’objet de la communication et donc citées au sein du texte. </w:t>
      </w:r>
      <w:r w:rsidRPr="00E51132">
        <w:rPr>
          <w:bCs/>
          <w:sz w:val="22"/>
          <w:szCs w:val="22"/>
          <w:lang w:eastAsia="ja-JP"/>
        </w:rPr>
        <w:t>Il faut donc éviter de créer, à côté des références bibliographiques, une « bibliographie » complémentaire</w:t>
      </w:r>
      <w:r w:rsidRPr="00E51132">
        <w:rPr>
          <w:sz w:val="22"/>
          <w:szCs w:val="22"/>
          <w:lang w:eastAsia="ja-JP"/>
        </w:rPr>
        <w:t>.</w:t>
      </w:r>
    </w:p>
    <w:p w:rsidR="009109CB" w:rsidRPr="00E51132" w:rsidRDefault="009109CB" w:rsidP="009109CB">
      <w:pPr>
        <w:widowControl w:val="0"/>
        <w:autoSpaceDE w:val="0"/>
        <w:autoSpaceDN w:val="0"/>
        <w:adjustRightInd w:val="0"/>
        <w:jc w:val="both"/>
        <w:rPr>
          <w:sz w:val="22"/>
          <w:szCs w:val="22"/>
          <w:lang w:eastAsia="ja-JP"/>
        </w:rPr>
      </w:pPr>
    </w:p>
    <w:p w:rsidR="009109CB" w:rsidRPr="00E51132" w:rsidRDefault="009109CB" w:rsidP="009109CB">
      <w:pPr>
        <w:widowControl w:val="0"/>
        <w:autoSpaceDE w:val="0"/>
        <w:autoSpaceDN w:val="0"/>
        <w:adjustRightInd w:val="0"/>
        <w:jc w:val="both"/>
        <w:rPr>
          <w:sz w:val="22"/>
          <w:szCs w:val="22"/>
          <w:u w:val="single"/>
          <w:lang w:eastAsia="ja-JP"/>
        </w:rPr>
      </w:pPr>
      <w:r w:rsidRPr="00E51132">
        <w:rPr>
          <w:bCs/>
          <w:sz w:val="22"/>
          <w:szCs w:val="22"/>
          <w:u w:val="single"/>
          <w:lang w:eastAsia="ja-JP"/>
        </w:rPr>
        <w:t>Pour un ouvrage</w:t>
      </w:r>
    </w:p>
    <w:p w:rsidR="009109CB" w:rsidRPr="00E51132" w:rsidRDefault="009109CB" w:rsidP="009109CB">
      <w:pPr>
        <w:jc w:val="both"/>
        <w:rPr>
          <w:bCs/>
          <w:iCs/>
          <w:sz w:val="22"/>
          <w:szCs w:val="22"/>
          <w:lang w:bidi="fr-FR"/>
        </w:rPr>
      </w:pPr>
      <w:r w:rsidRPr="00E51132">
        <w:rPr>
          <w:bCs/>
          <w:iCs/>
          <w:sz w:val="22"/>
          <w:szCs w:val="22"/>
          <w:lang w:bidi="fr-FR"/>
        </w:rPr>
        <w:t xml:space="preserve">Le Moigne J.-L., 1995, </w:t>
      </w:r>
      <w:r w:rsidRPr="00E51132">
        <w:rPr>
          <w:bCs/>
          <w:i/>
          <w:iCs/>
          <w:sz w:val="22"/>
          <w:szCs w:val="22"/>
          <w:lang w:bidi="fr-FR"/>
        </w:rPr>
        <w:t>Les épistémologies constructivistes</w:t>
      </w:r>
      <w:r w:rsidRPr="00E51132">
        <w:rPr>
          <w:bCs/>
          <w:iCs/>
          <w:sz w:val="22"/>
          <w:szCs w:val="22"/>
          <w:lang w:bidi="fr-FR"/>
        </w:rPr>
        <w:t>, Paris : PUF</w:t>
      </w:r>
    </w:p>
    <w:p w:rsidR="009109CB" w:rsidRPr="00E51132" w:rsidRDefault="009109CB" w:rsidP="009109CB">
      <w:pPr>
        <w:jc w:val="both"/>
        <w:rPr>
          <w:bCs/>
          <w:iCs/>
          <w:sz w:val="22"/>
          <w:szCs w:val="22"/>
          <w:lang w:bidi="fr-FR"/>
        </w:rPr>
      </w:pPr>
    </w:p>
    <w:p w:rsidR="009109CB" w:rsidRPr="00E51132" w:rsidRDefault="009109CB" w:rsidP="009109CB">
      <w:pPr>
        <w:jc w:val="both"/>
        <w:rPr>
          <w:sz w:val="22"/>
          <w:szCs w:val="22"/>
          <w:u w:val="single"/>
        </w:rPr>
      </w:pPr>
      <w:r w:rsidRPr="00E51132">
        <w:rPr>
          <w:bCs/>
          <w:sz w:val="22"/>
          <w:szCs w:val="22"/>
          <w:u w:val="single"/>
          <w:lang w:eastAsia="ja-JP"/>
        </w:rPr>
        <w:t>Pour un article</w:t>
      </w:r>
    </w:p>
    <w:p w:rsidR="009109CB" w:rsidRPr="00E51132" w:rsidRDefault="009109CB" w:rsidP="009109CB">
      <w:pPr>
        <w:jc w:val="both"/>
        <w:rPr>
          <w:bCs/>
          <w:iCs/>
          <w:sz w:val="22"/>
          <w:szCs w:val="22"/>
          <w:lang w:bidi="fr-FR"/>
        </w:rPr>
      </w:pPr>
      <w:r w:rsidRPr="00E51132">
        <w:rPr>
          <w:sz w:val="22"/>
          <w:szCs w:val="22"/>
        </w:rPr>
        <w:t xml:space="preserve">Vannereau, J., 2014, Analyse des pratiques managériales et pédagogie institutionnelle, </w:t>
      </w:r>
      <w:r w:rsidRPr="00E51132">
        <w:rPr>
          <w:i/>
          <w:sz w:val="22"/>
          <w:szCs w:val="22"/>
        </w:rPr>
        <w:t>L’année de la recherche en sciences de l’éducation</w:t>
      </w:r>
      <w:r w:rsidRPr="00E51132">
        <w:rPr>
          <w:sz w:val="22"/>
          <w:szCs w:val="22"/>
        </w:rPr>
        <w:t>, p. 151 – 174.</w:t>
      </w:r>
    </w:p>
    <w:p w:rsidR="009109CB" w:rsidRPr="00E51132" w:rsidRDefault="009109CB" w:rsidP="009109CB">
      <w:pPr>
        <w:widowControl w:val="0"/>
        <w:autoSpaceDE w:val="0"/>
        <w:autoSpaceDN w:val="0"/>
        <w:adjustRightInd w:val="0"/>
        <w:jc w:val="both"/>
        <w:rPr>
          <w:sz w:val="22"/>
          <w:szCs w:val="22"/>
          <w:lang w:eastAsia="ja-JP"/>
        </w:rPr>
      </w:pPr>
    </w:p>
    <w:p w:rsidR="009109CB" w:rsidRPr="00E51132" w:rsidRDefault="009109CB" w:rsidP="009109CB">
      <w:pPr>
        <w:widowControl w:val="0"/>
        <w:autoSpaceDE w:val="0"/>
        <w:autoSpaceDN w:val="0"/>
        <w:adjustRightInd w:val="0"/>
        <w:jc w:val="both"/>
        <w:rPr>
          <w:sz w:val="22"/>
          <w:szCs w:val="22"/>
          <w:u w:val="single"/>
          <w:lang w:eastAsia="ja-JP"/>
        </w:rPr>
      </w:pPr>
      <w:r w:rsidRPr="00E51132">
        <w:rPr>
          <w:bCs/>
          <w:sz w:val="22"/>
          <w:szCs w:val="22"/>
          <w:u w:val="single"/>
          <w:lang w:eastAsia="ja-JP"/>
        </w:rPr>
        <w:t>Pour un ouvrage collectif</w:t>
      </w:r>
    </w:p>
    <w:p w:rsidR="009109CB" w:rsidRPr="00E51132" w:rsidRDefault="009109CB" w:rsidP="009109CB">
      <w:pPr>
        <w:jc w:val="both"/>
        <w:rPr>
          <w:sz w:val="22"/>
          <w:szCs w:val="22"/>
        </w:rPr>
      </w:pPr>
      <w:r w:rsidRPr="00E51132">
        <w:rPr>
          <w:sz w:val="22"/>
          <w:szCs w:val="22"/>
        </w:rPr>
        <w:t xml:space="preserve">Pagès M., Bonetti, M., de Gaulejac V., Descendre D., 1979, </w:t>
      </w:r>
      <w:r w:rsidRPr="00E51132">
        <w:rPr>
          <w:i/>
          <w:sz w:val="22"/>
          <w:szCs w:val="22"/>
        </w:rPr>
        <w:t>L’emprise de l’organisation</w:t>
      </w:r>
      <w:r w:rsidRPr="00E51132">
        <w:rPr>
          <w:sz w:val="22"/>
          <w:szCs w:val="22"/>
        </w:rPr>
        <w:t>, Paris : PUF.</w:t>
      </w:r>
    </w:p>
    <w:p w:rsidR="009109CB" w:rsidRPr="00E51132" w:rsidRDefault="009109CB" w:rsidP="009109CB">
      <w:pPr>
        <w:jc w:val="both"/>
        <w:rPr>
          <w:sz w:val="22"/>
          <w:szCs w:val="22"/>
        </w:rPr>
      </w:pPr>
    </w:p>
    <w:p w:rsidR="009109CB" w:rsidRPr="00E51132" w:rsidRDefault="009109CB" w:rsidP="009109CB">
      <w:pPr>
        <w:jc w:val="both"/>
        <w:rPr>
          <w:sz w:val="22"/>
          <w:szCs w:val="22"/>
          <w:u w:val="single"/>
        </w:rPr>
      </w:pPr>
      <w:r w:rsidRPr="00E51132">
        <w:rPr>
          <w:sz w:val="22"/>
          <w:szCs w:val="22"/>
          <w:u w:val="single"/>
        </w:rPr>
        <w:t>Pour un chapitre dans un ouvrage collectif</w:t>
      </w:r>
    </w:p>
    <w:p w:rsidR="009109CB" w:rsidRPr="00E51132" w:rsidRDefault="009109CB" w:rsidP="009109CB">
      <w:pPr>
        <w:jc w:val="both"/>
        <w:rPr>
          <w:sz w:val="22"/>
          <w:szCs w:val="22"/>
        </w:rPr>
      </w:pPr>
      <w:r w:rsidRPr="00E51132">
        <w:rPr>
          <w:sz w:val="22"/>
          <w:szCs w:val="22"/>
        </w:rPr>
        <w:t xml:space="preserve">Guiraud, M., 2003, De la symbolisation institutionnelle, — « Enquête institutionnaliste » sur un certain « vide conceptuel », in </w:t>
      </w:r>
      <w:r w:rsidRPr="00E51132">
        <w:rPr>
          <w:i/>
          <w:sz w:val="22"/>
          <w:szCs w:val="22"/>
        </w:rPr>
        <w:t>Actualité de la théorie de l’institution</w:t>
      </w:r>
      <w:r w:rsidRPr="00E51132">
        <w:rPr>
          <w:sz w:val="22"/>
          <w:szCs w:val="22"/>
        </w:rPr>
        <w:t>, s/d Ardoino J., Boumard P., Sallaberry JC, Paris, L’Harmattan (Cognition et Formation), p. 127-157.</w:t>
      </w:r>
    </w:p>
    <w:p w:rsidR="009109CB" w:rsidRPr="00E51132" w:rsidRDefault="009109CB" w:rsidP="009109CB">
      <w:pPr>
        <w:jc w:val="both"/>
        <w:rPr>
          <w:sz w:val="22"/>
          <w:szCs w:val="22"/>
        </w:rPr>
      </w:pPr>
    </w:p>
    <w:p w:rsidR="009109CB" w:rsidRPr="00E51132" w:rsidRDefault="009109CB" w:rsidP="009109CB">
      <w:pPr>
        <w:widowControl w:val="0"/>
        <w:autoSpaceDE w:val="0"/>
        <w:autoSpaceDN w:val="0"/>
        <w:adjustRightInd w:val="0"/>
        <w:jc w:val="both"/>
        <w:rPr>
          <w:bCs/>
          <w:sz w:val="22"/>
          <w:szCs w:val="22"/>
          <w:u w:val="single"/>
          <w:lang w:eastAsia="ja-JP"/>
        </w:rPr>
      </w:pPr>
      <w:r w:rsidRPr="00E51132">
        <w:rPr>
          <w:bCs/>
          <w:sz w:val="22"/>
          <w:szCs w:val="22"/>
          <w:u w:val="single"/>
          <w:lang w:eastAsia="ja-JP"/>
        </w:rPr>
        <w:t>Pour une communication lors d’un colloque</w:t>
      </w:r>
      <w:r w:rsidRPr="00E51132">
        <w:rPr>
          <w:rFonts w:ascii="MS Mincho" w:eastAsia="MS Mincho" w:hAnsi="MS Mincho" w:cs="MS Mincho" w:hint="eastAsia"/>
          <w:bCs/>
          <w:sz w:val="22"/>
          <w:szCs w:val="22"/>
          <w:u w:val="single"/>
          <w:lang w:eastAsia="ja-JP"/>
        </w:rPr>
        <w:t> </w:t>
      </w:r>
    </w:p>
    <w:p w:rsidR="009109CB" w:rsidRPr="00E51132" w:rsidRDefault="009109CB" w:rsidP="009109CB">
      <w:pPr>
        <w:widowControl w:val="0"/>
        <w:autoSpaceDE w:val="0"/>
        <w:autoSpaceDN w:val="0"/>
        <w:adjustRightInd w:val="0"/>
        <w:jc w:val="both"/>
        <w:rPr>
          <w:b/>
          <w:bCs/>
          <w:sz w:val="22"/>
          <w:szCs w:val="22"/>
          <w:lang w:eastAsia="ja-JP"/>
        </w:rPr>
      </w:pPr>
      <w:r w:rsidRPr="00E51132">
        <w:rPr>
          <w:sz w:val="22"/>
          <w:szCs w:val="22"/>
        </w:rPr>
        <w:t>Ardoino J., Colloque AECSE « Sciences anthropo-sociales et sciences de l’éducation », Paris, 1983. Actes p 148</w:t>
      </w:r>
    </w:p>
    <w:p w:rsidR="009109CB" w:rsidRPr="00E51132" w:rsidRDefault="009109CB" w:rsidP="009109CB">
      <w:pPr>
        <w:widowControl w:val="0"/>
        <w:autoSpaceDE w:val="0"/>
        <w:autoSpaceDN w:val="0"/>
        <w:adjustRightInd w:val="0"/>
        <w:jc w:val="both"/>
        <w:rPr>
          <w:sz w:val="22"/>
          <w:szCs w:val="22"/>
          <w:lang w:eastAsia="ja-JP"/>
        </w:rPr>
      </w:pPr>
    </w:p>
    <w:p w:rsidR="009109CB" w:rsidRPr="00E51132" w:rsidRDefault="009109CB" w:rsidP="009109CB">
      <w:pPr>
        <w:widowControl w:val="0"/>
        <w:autoSpaceDE w:val="0"/>
        <w:autoSpaceDN w:val="0"/>
        <w:adjustRightInd w:val="0"/>
        <w:jc w:val="both"/>
        <w:rPr>
          <w:sz w:val="22"/>
          <w:szCs w:val="22"/>
          <w:lang w:eastAsia="ja-JP"/>
        </w:rPr>
      </w:pPr>
      <w:r w:rsidRPr="00E51132">
        <w:rPr>
          <w:bCs/>
          <w:sz w:val="22"/>
          <w:szCs w:val="22"/>
          <w:lang w:eastAsia="ja-JP"/>
        </w:rPr>
        <w:t>Attention</w:t>
      </w:r>
      <w:r w:rsidRPr="00E51132">
        <w:rPr>
          <w:sz w:val="22"/>
          <w:szCs w:val="22"/>
          <w:lang w:eastAsia="ja-JP"/>
        </w:rPr>
        <w:t>: pas de retrait (positif ou négatif) dans la présentation des références bibliographiques. Elles se suivent à l’image des exemples suivants.</w:t>
      </w:r>
    </w:p>
    <w:p w:rsidR="009109CB" w:rsidRPr="00E51132" w:rsidRDefault="009109CB" w:rsidP="009109CB">
      <w:pPr>
        <w:widowControl w:val="0"/>
        <w:autoSpaceDE w:val="0"/>
        <w:autoSpaceDN w:val="0"/>
        <w:adjustRightInd w:val="0"/>
        <w:jc w:val="both"/>
        <w:rPr>
          <w:b/>
          <w:bCs/>
          <w:sz w:val="22"/>
          <w:szCs w:val="22"/>
          <w:lang w:eastAsia="ja-JP"/>
        </w:rPr>
      </w:pPr>
      <w:r w:rsidRPr="00E51132">
        <w:rPr>
          <w:sz w:val="22"/>
          <w:szCs w:val="22"/>
        </w:rPr>
        <w:t>Ardoino J., Colloque AECSE « Sciences anthropo-sociales et sciences de l’éducation », Paris, 1983. Actes p 148</w:t>
      </w:r>
    </w:p>
    <w:p w:rsidR="009109CB" w:rsidRPr="00E51132" w:rsidRDefault="009109CB" w:rsidP="009109CB">
      <w:pPr>
        <w:jc w:val="both"/>
        <w:rPr>
          <w:sz w:val="22"/>
          <w:szCs w:val="22"/>
        </w:rPr>
      </w:pPr>
      <w:r w:rsidRPr="00E51132">
        <w:rPr>
          <w:sz w:val="22"/>
          <w:szCs w:val="22"/>
        </w:rPr>
        <w:t xml:space="preserve">Guiraud, M., 2003, De la symbolisation institutionnelle, — « Enquête institutionnaliste » sur un certain « vide conceptuel », in </w:t>
      </w:r>
      <w:r w:rsidRPr="00E51132">
        <w:rPr>
          <w:i/>
          <w:sz w:val="22"/>
          <w:szCs w:val="22"/>
        </w:rPr>
        <w:t>Actualité de la théorie de l’institution</w:t>
      </w:r>
      <w:r w:rsidRPr="00E51132">
        <w:rPr>
          <w:sz w:val="22"/>
          <w:szCs w:val="22"/>
        </w:rPr>
        <w:t>, s/d Ardoino J., Boumard P., Sallaberry JC, Paris, L’Harmattan (Cognition et Formation), p. 127-157.</w:t>
      </w:r>
    </w:p>
    <w:p w:rsidR="009109CB" w:rsidRPr="00E51132" w:rsidRDefault="009109CB" w:rsidP="009109CB">
      <w:pPr>
        <w:jc w:val="both"/>
        <w:rPr>
          <w:bCs/>
          <w:iCs/>
          <w:sz w:val="22"/>
          <w:szCs w:val="22"/>
          <w:lang w:bidi="fr-FR"/>
        </w:rPr>
      </w:pPr>
      <w:r w:rsidRPr="00E51132">
        <w:rPr>
          <w:bCs/>
          <w:iCs/>
          <w:sz w:val="22"/>
          <w:szCs w:val="22"/>
          <w:lang w:bidi="fr-FR"/>
        </w:rPr>
        <w:t xml:space="preserve">Le Moigne J.-L., 1995, </w:t>
      </w:r>
      <w:r w:rsidRPr="00E51132">
        <w:rPr>
          <w:bCs/>
          <w:i/>
          <w:iCs/>
          <w:sz w:val="22"/>
          <w:szCs w:val="22"/>
          <w:lang w:bidi="fr-FR"/>
        </w:rPr>
        <w:t>Les épistémologies constructivistes</w:t>
      </w:r>
      <w:r w:rsidRPr="00E51132">
        <w:rPr>
          <w:bCs/>
          <w:iCs/>
          <w:sz w:val="22"/>
          <w:szCs w:val="22"/>
          <w:lang w:bidi="fr-FR"/>
        </w:rPr>
        <w:t>, Paris : PUF</w:t>
      </w:r>
    </w:p>
    <w:p w:rsidR="009109CB" w:rsidRPr="00E51132" w:rsidRDefault="009109CB" w:rsidP="009109CB">
      <w:pPr>
        <w:jc w:val="both"/>
        <w:rPr>
          <w:sz w:val="22"/>
          <w:szCs w:val="22"/>
        </w:rPr>
      </w:pPr>
      <w:r w:rsidRPr="00E51132">
        <w:rPr>
          <w:sz w:val="22"/>
          <w:szCs w:val="22"/>
        </w:rPr>
        <w:t xml:space="preserve">Pages M., Bonetti, M., de Gaulejac V., Descendre D., 1979, </w:t>
      </w:r>
      <w:r w:rsidRPr="00E51132">
        <w:rPr>
          <w:i/>
          <w:sz w:val="22"/>
          <w:szCs w:val="22"/>
        </w:rPr>
        <w:t>L’emprise de l’organisation</w:t>
      </w:r>
      <w:r w:rsidRPr="00E51132">
        <w:rPr>
          <w:sz w:val="22"/>
          <w:szCs w:val="22"/>
        </w:rPr>
        <w:t>, Paris : PUF.</w:t>
      </w:r>
    </w:p>
    <w:p w:rsidR="009109CB" w:rsidRPr="00E51132" w:rsidRDefault="009109CB" w:rsidP="009109CB">
      <w:pPr>
        <w:jc w:val="both"/>
        <w:rPr>
          <w:bCs/>
          <w:iCs/>
          <w:sz w:val="22"/>
          <w:szCs w:val="22"/>
          <w:lang w:bidi="fr-FR"/>
        </w:rPr>
      </w:pPr>
      <w:r w:rsidRPr="00E51132">
        <w:rPr>
          <w:sz w:val="22"/>
          <w:szCs w:val="22"/>
        </w:rPr>
        <w:t xml:space="preserve">Vannereau, J., 2014, Analyse des pratiques managériales et pédagogie institutionnelle, </w:t>
      </w:r>
      <w:r w:rsidRPr="00E51132">
        <w:rPr>
          <w:i/>
          <w:sz w:val="22"/>
          <w:szCs w:val="22"/>
        </w:rPr>
        <w:t>L’année de la recherche en sciences de l’éducation</w:t>
      </w:r>
      <w:r w:rsidRPr="00E51132">
        <w:rPr>
          <w:sz w:val="22"/>
          <w:szCs w:val="22"/>
        </w:rPr>
        <w:t>, p. 151 – 174.</w:t>
      </w:r>
    </w:p>
    <w:p w:rsidR="009109CB" w:rsidRPr="00E51132" w:rsidRDefault="009109CB" w:rsidP="009109CB">
      <w:pPr>
        <w:widowControl w:val="0"/>
        <w:autoSpaceDE w:val="0"/>
        <w:autoSpaceDN w:val="0"/>
        <w:adjustRightInd w:val="0"/>
        <w:jc w:val="both"/>
        <w:rPr>
          <w:iCs/>
          <w:sz w:val="22"/>
          <w:szCs w:val="22"/>
          <w:lang w:eastAsia="ja-JP"/>
        </w:rPr>
      </w:pPr>
    </w:p>
    <w:p w:rsidR="009109CB" w:rsidRPr="00E51132" w:rsidRDefault="009109CB" w:rsidP="009109CB">
      <w:pPr>
        <w:widowControl w:val="0"/>
        <w:autoSpaceDE w:val="0"/>
        <w:autoSpaceDN w:val="0"/>
        <w:adjustRightInd w:val="0"/>
        <w:jc w:val="both"/>
        <w:rPr>
          <w:iCs/>
          <w:sz w:val="22"/>
          <w:szCs w:val="22"/>
          <w:lang w:eastAsia="ja-JP"/>
        </w:rPr>
      </w:pPr>
    </w:p>
    <w:p w:rsidR="009109CB" w:rsidRPr="00F80CD8" w:rsidRDefault="009109CB" w:rsidP="009109CB">
      <w:pPr>
        <w:widowControl w:val="0"/>
        <w:autoSpaceDE w:val="0"/>
        <w:autoSpaceDN w:val="0"/>
        <w:adjustRightInd w:val="0"/>
        <w:jc w:val="both"/>
        <w:rPr>
          <w:color w:val="17365D" w:themeColor="text2" w:themeShade="BF"/>
          <w:sz w:val="22"/>
          <w:szCs w:val="22"/>
          <w:lang w:eastAsia="ja-JP"/>
        </w:rPr>
      </w:pPr>
      <w:r w:rsidRPr="00F80CD8">
        <w:rPr>
          <w:b/>
          <w:bCs/>
          <w:color w:val="17365D" w:themeColor="text2" w:themeShade="BF"/>
          <w:sz w:val="22"/>
          <w:szCs w:val="22"/>
          <w:lang w:eastAsia="ja-JP"/>
        </w:rPr>
        <w:t>C. Envoi du projet de communication exclusivement sous la forme d’une fichier doc, docx ou RTF (</w:t>
      </w:r>
      <w:r w:rsidRPr="00F80CD8">
        <w:rPr>
          <w:b/>
          <w:bCs/>
          <w:color w:val="17365D" w:themeColor="text2" w:themeShade="BF"/>
          <w:sz w:val="22"/>
          <w:szCs w:val="22"/>
          <w:u w:val="single"/>
          <w:lang w:eastAsia="ja-JP"/>
        </w:rPr>
        <w:t>donc pas de PDF)</w:t>
      </w:r>
    </w:p>
    <w:p w:rsidR="00F80CD8" w:rsidRDefault="00F80CD8" w:rsidP="009109CB">
      <w:pPr>
        <w:widowControl w:val="0"/>
        <w:autoSpaceDE w:val="0"/>
        <w:autoSpaceDN w:val="0"/>
        <w:adjustRightInd w:val="0"/>
        <w:jc w:val="both"/>
        <w:rPr>
          <w:sz w:val="22"/>
          <w:szCs w:val="22"/>
          <w:lang w:eastAsia="ja-JP"/>
        </w:rPr>
      </w:pPr>
    </w:p>
    <w:p w:rsidR="009109CB" w:rsidRPr="00E51132" w:rsidRDefault="009109CB" w:rsidP="009109CB">
      <w:pPr>
        <w:widowControl w:val="0"/>
        <w:autoSpaceDE w:val="0"/>
        <w:autoSpaceDN w:val="0"/>
        <w:adjustRightInd w:val="0"/>
        <w:jc w:val="both"/>
        <w:rPr>
          <w:sz w:val="22"/>
          <w:szCs w:val="22"/>
          <w:lang w:eastAsia="ja-JP"/>
        </w:rPr>
      </w:pPr>
      <w:r w:rsidRPr="00E51132">
        <w:rPr>
          <w:sz w:val="22"/>
          <w:szCs w:val="22"/>
          <w:lang w:eastAsia="ja-JP"/>
        </w:rPr>
        <w:t xml:space="preserve">Ce projet de communication précisera sur une page – dite de présentation – le titre de la communication, l’auteur (ou les auteurs), son (leurs) titre(s), le rattachement scientifique et/ou le lieu d’exercice, l’adresse, le téléphone et l’e-mail </w:t>
      </w:r>
      <w:r w:rsidRPr="00E51132">
        <w:rPr>
          <w:b/>
          <w:sz w:val="22"/>
          <w:szCs w:val="22"/>
          <w:lang w:eastAsia="ja-JP"/>
        </w:rPr>
        <w:t>et l’atelier “visé“.</w:t>
      </w:r>
      <w:r w:rsidRPr="00E51132">
        <w:rPr>
          <w:sz w:val="22"/>
          <w:szCs w:val="22"/>
          <w:lang w:eastAsia="ja-JP"/>
        </w:rPr>
        <w:t xml:space="preserve"> La page suivante reprendra le titre de la communication, le résumé, puis suivront le corps du texte et les références bibliographiques.</w:t>
      </w:r>
    </w:p>
    <w:p w:rsidR="00F80CD8" w:rsidRDefault="00F80CD8" w:rsidP="009109CB">
      <w:pPr>
        <w:widowControl w:val="0"/>
        <w:autoSpaceDE w:val="0"/>
        <w:autoSpaceDN w:val="0"/>
        <w:adjustRightInd w:val="0"/>
        <w:jc w:val="both"/>
        <w:rPr>
          <w:sz w:val="22"/>
          <w:szCs w:val="22"/>
          <w:lang w:eastAsia="ja-JP"/>
        </w:rPr>
      </w:pPr>
    </w:p>
    <w:p w:rsidR="009109CB" w:rsidRPr="00F1548D" w:rsidRDefault="009109CB" w:rsidP="00F80CD8">
      <w:pPr>
        <w:widowControl w:val="0"/>
        <w:autoSpaceDE w:val="0"/>
        <w:autoSpaceDN w:val="0"/>
        <w:adjustRightInd w:val="0"/>
        <w:jc w:val="center"/>
        <w:rPr>
          <w:b/>
          <w:color w:val="17365D" w:themeColor="text2" w:themeShade="BF"/>
          <w:sz w:val="22"/>
          <w:szCs w:val="22"/>
          <w:lang w:eastAsia="ja-JP"/>
        </w:rPr>
      </w:pPr>
      <w:r w:rsidRPr="00E51132">
        <w:rPr>
          <w:sz w:val="22"/>
          <w:szCs w:val="22"/>
          <w:lang w:eastAsia="ja-JP"/>
        </w:rPr>
        <w:t>Il sera adressé à l’adresse suivante</w:t>
      </w:r>
      <w:r w:rsidR="00F80CD8">
        <w:rPr>
          <w:sz w:val="22"/>
          <w:szCs w:val="22"/>
          <w:lang w:eastAsia="ja-JP"/>
        </w:rPr>
        <w:t> </w:t>
      </w:r>
      <w:r w:rsidR="00F80CD8" w:rsidRPr="00F1548D">
        <w:rPr>
          <w:color w:val="17365D" w:themeColor="text2" w:themeShade="BF"/>
          <w:sz w:val="22"/>
          <w:szCs w:val="22"/>
          <w:lang w:eastAsia="ja-JP"/>
        </w:rPr>
        <w:t xml:space="preserve">: </w:t>
      </w:r>
      <w:hyperlink r:id="rId8" w:history="1">
        <w:r w:rsidR="00F80CD8" w:rsidRPr="00F1548D">
          <w:rPr>
            <w:rStyle w:val="Lienhypertexte"/>
            <w:b/>
            <w:color w:val="17365D" w:themeColor="text2" w:themeShade="BF"/>
            <w:sz w:val="22"/>
            <w:szCs w:val="22"/>
            <w:lang w:eastAsia="ja-JP"/>
          </w:rPr>
          <w:t>evenements@espe-aquitaine.fr</w:t>
        </w:r>
      </w:hyperlink>
    </w:p>
    <w:p w:rsidR="009109CB" w:rsidRPr="00F1548D" w:rsidRDefault="009109CB" w:rsidP="009109CB">
      <w:pPr>
        <w:widowControl w:val="0"/>
        <w:autoSpaceDE w:val="0"/>
        <w:autoSpaceDN w:val="0"/>
        <w:adjustRightInd w:val="0"/>
        <w:jc w:val="both"/>
        <w:rPr>
          <w:color w:val="17365D" w:themeColor="text2" w:themeShade="BF"/>
          <w:sz w:val="22"/>
          <w:szCs w:val="22"/>
          <w:lang w:eastAsia="ja-JP"/>
        </w:rPr>
      </w:pPr>
    </w:p>
    <w:p w:rsidR="00825E4B" w:rsidRDefault="00825E4B" w:rsidP="00825E4B">
      <w:pPr>
        <w:widowControl w:val="0"/>
        <w:autoSpaceDE w:val="0"/>
        <w:autoSpaceDN w:val="0"/>
        <w:adjustRightInd w:val="0"/>
        <w:jc w:val="center"/>
        <w:rPr>
          <w:sz w:val="22"/>
          <w:szCs w:val="22"/>
          <w:lang w:eastAsia="ja-JP"/>
        </w:rPr>
      </w:pPr>
      <w:r>
        <w:rPr>
          <w:sz w:val="22"/>
          <w:szCs w:val="22"/>
          <w:lang w:eastAsia="ja-JP"/>
        </w:rPr>
        <w:t xml:space="preserve">Toutes ces informations seront prochainement disponibles sur le site du colloque </w:t>
      </w:r>
    </w:p>
    <w:p w:rsidR="00825E4B" w:rsidRPr="00F1548D" w:rsidRDefault="00C41837" w:rsidP="00825E4B">
      <w:pPr>
        <w:widowControl w:val="0"/>
        <w:autoSpaceDE w:val="0"/>
        <w:autoSpaceDN w:val="0"/>
        <w:adjustRightInd w:val="0"/>
        <w:jc w:val="center"/>
        <w:rPr>
          <w:b/>
          <w:color w:val="17365D" w:themeColor="text2" w:themeShade="BF"/>
          <w:sz w:val="22"/>
          <w:szCs w:val="22"/>
          <w:lang w:eastAsia="ja-JP"/>
        </w:rPr>
      </w:pPr>
      <w:hyperlink r:id="rId9" w:tgtFrame="_blank" w:history="1">
        <w:r w:rsidR="006A2253" w:rsidRPr="00F1548D">
          <w:rPr>
            <w:rStyle w:val="Lienhypertexte"/>
            <w:b/>
            <w:color w:val="17365D" w:themeColor="text2" w:themeShade="BF"/>
            <w:sz w:val="22"/>
            <w:szCs w:val="22"/>
          </w:rPr>
          <w:t>http://afirse2017.sciencesconf.org</w:t>
        </w:r>
      </w:hyperlink>
    </w:p>
    <w:p w:rsidR="00825E4B" w:rsidRPr="00E51132" w:rsidRDefault="00825E4B" w:rsidP="00825E4B">
      <w:pPr>
        <w:widowControl w:val="0"/>
        <w:autoSpaceDE w:val="0"/>
        <w:autoSpaceDN w:val="0"/>
        <w:adjustRightInd w:val="0"/>
        <w:jc w:val="center"/>
        <w:rPr>
          <w:sz w:val="22"/>
          <w:szCs w:val="22"/>
          <w:lang w:eastAsia="ja-JP"/>
        </w:rPr>
      </w:pPr>
      <w:r>
        <w:rPr>
          <w:sz w:val="22"/>
          <w:szCs w:val="22"/>
          <w:lang w:eastAsia="ja-JP"/>
        </w:rPr>
        <w:t>qui sera régulièrement enrichi d’informations pratiques</w:t>
      </w:r>
    </w:p>
    <w:sectPr w:rsidR="00825E4B" w:rsidRPr="00E51132" w:rsidSect="00C046E3">
      <w:headerReference w:type="default" r:id="rId10"/>
      <w:pgSz w:w="11900" w:h="16840" w:code="9"/>
      <w:pgMar w:top="964" w:right="1247" w:bottom="964" w:left="1247" w:header="397"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321" w:rsidRDefault="002B2321" w:rsidP="00E51132">
      <w:r>
        <w:separator/>
      </w:r>
    </w:p>
  </w:endnote>
  <w:endnote w:type="continuationSeparator" w:id="1">
    <w:p w:rsidR="002B2321" w:rsidRDefault="002B2321" w:rsidP="00E51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321" w:rsidRDefault="002B2321" w:rsidP="00E51132">
      <w:r>
        <w:separator/>
      </w:r>
    </w:p>
  </w:footnote>
  <w:footnote w:type="continuationSeparator" w:id="1">
    <w:p w:rsidR="002B2321" w:rsidRDefault="002B2321" w:rsidP="00E51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387" w:rsidRDefault="00C41837" w:rsidP="00DD44CA">
    <w:pPr>
      <w:widowControl w:val="0"/>
      <w:autoSpaceDE w:val="0"/>
      <w:autoSpaceDN w:val="0"/>
      <w:adjustRightInd w:val="0"/>
      <w:spacing w:after="240"/>
      <w:ind w:left="-567" w:right="-715"/>
    </w:pPr>
    <w:r>
      <w:rPr>
        <w:noProof/>
      </w:rPr>
      <w:pict>
        <v:shapetype id="_x0000_t202" coordsize="21600,21600" o:spt="202" path="m,l,21600r21600,l21600,xe">
          <v:stroke joinstyle="miter"/>
          <v:path gradientshapeok="t" o:connecttype="rect"/>
        </v:shapetype>
        <v:shape id="Zone de texte 2" o:spid="_x0000_s1026" type="#_x0000_t202" style="position:absolute;left:0;text-align:left;margin-left:103.75pt;margin-top:18pt;width:87pt;height:33.2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" strokecolor="white [3212]">
          <v:textbox style="mso-fit-shape-to-text:t">
            <w:txbxContent>
              <w:p w:rsidR="009109CB" w:rsidRPr="009109CB" w:rsidRDefault="009109CB">
                <w:pPr>
                  <w:rPr>
                    <w:b/>
                  </w:rPr>
                </w:pPr>
                <w:r w:rsidRPr="009109CB">
                  <w:rPr>
                    <w:b/>
                  </w:rPr>
                  <w:t>AFIRSE</w:t>
                </w:r>
              </w:p>
              <w:p w:rsidR="009109CB" w:rsidRPr="009109CB" w:rsidRDefault="009109CB">
                <w:pPr>
                  <w:rPr>
                    <w:i/>
                    <w:sz w:val="20"/>
                    <w:szCs w:val="20"/>
                  </w:rPr>
                </w:pPr>
                <w:r w:rsidRPr="009109CB">
                  <w:rPr>
                    <w:i/>
                    <w:sz w:val="20"/>
                    <w:szCs w:val="20"/>
                  </w:rPr>
                  <w:t>Section française</w:t>
                </w:r>
              </w:p>
            </w:txbxContent>
          </v:textbox>
        </v:shape>
      </w:pict>
    </w:r>
    <w:r w:rsidR="00321387">
      <w:rPr>
        <w:rFonts w:ascii="Arial" w:hAnsi="Arial" w:cs="Arial"/>
        <w:b/>
        <w:bCs/>
        <w:noProof/>
        <w:color w:val="0C00FA"/>
        <w:sz w:val="22"/>
        <w:szCs w:val="22"/>
      </w:rPr>
      <w:drawing>
        <wp:inline distT="0" distB="0" distL="0" distR="0">
          <wp:extent cx="617220" cy="76313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8806" cy="765097"/>
                  </a:xfrm>
                  <a:prstGeom prst="rect">
                    <a:avLst/>
                  </a:prstGeom>
                  <a:noFill/>
                  <a:ln>
                    <a:noFill/>
                  </a:ln>
                </pic:spPr>
              </pic:pic>
            </a:graphicData>
          </a:graphic>
        </wp:inline>
      </w:drawing>
    </w:r>
    <w:r w:rsidR="00321387">
      <w:rPr>
        <w:rFonts w:ascii="Times" w:hAnsi="Times" w:cs="Times"/>
        <w:noProof/>
      </w:rPr>
      <w:drawing>
        <wp:inline distT="0" distB="0" distL="0" distR="0">
          <wp:extent cx="731520" cy="74381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32298" cy="744606"/>
                  </a:xfrm>
                  <a:prstGeom prst="rect">
                    <a:avLst/>
                  </a:prstGeom>
                  <a:noFill/>
                  <a:ln>
                    <a:noFill/>
                  </a:ln>
                </pic:spPr>
              </pic:pic>
            </a:graphicData>
          </a:graphic>
        </wp:inline>
      </w:drawing>
    </w:r>
    <w:r w:rsidR="00321387">
      <w:rPr>
        <w:noProof/>
      </w:rPr>
      <w:drawing>
        <wp:inline distT="0" distB="0" distL="0" distR="0">
          <wp:extent cx="861060" cy="586411"/>
          <wp:effectExtent l="0" t="0" r="0" b="444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spe aquitaine rvb.jp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869849" cy="592397"/>
                  </a:xfrm>
                  <a:prstGeom prst="rect">
                    <a:avLst/>
                  </a:prstGeom>
                </pic:spPr>
              </pic:pic>
            </a:graphicData>
          </a:graphic>
        </wp:inline>
      </w:drawing>
    </w:r>
    <w:r w:rsidR="00321387">
      <w:rPr>
        <w:noProof/>
      </w:rPr>
      <w:drawing>
        <wp:inline distT="0" distB="0" distL="0" distR="0">
          <wp:extent cx="1208048" cy="48463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é_Bordeaux_(Logo_2013).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206589" cy="484047"/>
                  </a:xfrm>
                  <a:prstGeom prst="rect">
                    <a:avLst/>
                  </a:prstGeom>
                </pic:spPr>
              </pic:pic>
            </a:graphicData>
          </a:graphic>
        </wp:inline>
      </w:drawing>
    </w:r>
    <w:r w:rsidR="00321387">
      <w:rPr>
        <w:noProof/>
      </w:rPr>
      <w:drawing>
        <wp:inline distT="0" distB="0" distL="0" distR="0">
          <wp:extent cx="1371600" cy="39048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aces-grand.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384648" cy="39419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seFELayout/>
  </w:compat>
  <w:rsids>
    <w:rsidRoot w:val="008377FB"/>
    <w:rsid w:val="00001536"/>
    <w:rsid w:val="00121BD5"/>
    <w:rsid w:val="00127DFC"/>
    <w:rsid w:val="00171219"/>
    <w:rsid w:val="002730CA"/>
    <w:rsid w:val="002B2321"/>
    <w:rsid w:val="00321387"/>
    <w:rsid w:val="00394F8B"/>
    <w:rsid w:val="003B5133"/>
    <w:rsid w:val="00534C17"/>
    <w:rsid w:val="00634C24"/>
    <w:rsid w:val="006A2253"/>
    <w:rsid w:val="00825E4B"/>
    <w:rsid w:val="008377FB"/>
    <w:rsid w:val="008B51C6"/>
    <w:rsid w:val="009109CB"/>
    <w:rsid w:val="00910CDA"/>
    <w:rsid w:val="00A04F6E"/>
    <w:rsid w:val="00AE2DAB"/>
    <w:rsid w:val="00BF0D8F"/>
    <w:rsid w:val="00C046E3"/>
    <w:rsid w:val="00C41837"/>
    <w:rsid w:val="00D01715"/>
    <w:rsid w:val="00D4171C"/>
    <w:rsid w:val="00D9248A"/>
    <w:rsid w:val="00DD44CA"/>
    <w:rsid w:val="00E06E53"/>
    <w:rsid w:val="00E51132"/>
    <w:rsid w:val="00EB42E2"/>
    <w:rsid w:val="00F1548D"/>
    <w:rsid w:val="00F80CD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837"/>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note de bas de page"/>
    <w:basedOn w:val="Policepardfaut"/>
    <w:rsid w:val="00EB42E2"/>
    <w:rPr>
      <w:position w:val="6"/>
      <w:sz w:val="16"/>
    </w:rPr>
  </w:style>
  <w:style w:type="paragraph" w:styleId="Textedebulles">
    <w:name w:val="Balloon Text"/>
    <w:basedOn w:val="Normal"/>
    <w:link w:val="TextedebullesCar"/>
    <w:uiPriority w:val="99"/>
    <w:semiHidden/>
    <w:unhideWhenUsed/>
    <w:rsid w:val="00BF0D8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F0D8F"/>
    <w:rPr>
      <w:rFonts w:ascii="Lucida Grande" w:hAnsi="Lucida Grande" w:cs="Lucida Grande"/>
      <w:sz w:val="18"/>
      <w:szCs w:val="18"/>
      <w:lang w:eastAsia="fr-FR"/>
    </w:rPr>
  </w:style>
  <w:style w:type="paragraph" w:styleId="En-tte">
    <w:name w:val="header"/>
    <w:basedOn w:val="Normal"/>
    <w:link w:val="En-tteCar"/>
    <w:unhideWhenUsed/>
    <w:rsid w:val="00E51132"/>
    <w:pPr>
      <w:tabs>
        <w:tab w:val="center" w:pos="4536"/>
        <w:tab w:val="right" w:pos="9072"/>
      </w:tabs>
    </w:pPr>
  </w:style>
  <w:style w:type="character" w:customStyle="1" w:styleId="En-tteCar">
    <w:name w:val="En-tête Car"/>
    <w:basedOn w:val="Policepardfaut"/>
    <w:link w:val="En-tte"/>
    <w:rsid w:val="00E51132"/>
    <w:rPr>
      <w:sz w:val="24"/>
      <w:szCs w:val="24"/>
      <w:lang w:eastAsia="fr-FR"/>
    </w:rPr>
  </w:style>
  <w:style w:type="paragraph" w:styleId="Pieddepage">
    <w:name w:val="footer"/>
    <w:basedOn w:val="Normal"/>
    <w:link w:val="PieddepageCar"/>
    <w:uiPriority w:val="99"/>
    <w:unhideWhenUsed/>
    <w:rsid w:val="00E51132"/>
    <w:pPr>
      <w:tabs>
        <w:tab w:val="center" w:pos="4536"/>
        <w:tab w:val="right" w:pos="9072"/>
      </w:tabs>
    </w:pPr>
  </w:style>
  <w:style w:type="character" w:customStyle="1" w:styleId="PieddepageCar">
    <w:name w:val="Pied de page Car"/>
    <w:basedOn w:val="Policepardfaut"/>
    <w:link w:val="Pieddepage"/>
    <w:uiPriority w:val="99"/>
    <w:rsid w:val="00E51132"/>
    <w:rPr>
      <w:sz w:val="24"/>
      <w:szCs w:val="24"/>
      <w:lang w:eastAsia="fr-FR"/>
    </w:rPr>
  </w:style>
  <w:style w:type="character" w:styleId="Lienhypertexte">
    <w:name w:val="Hyperlink"/>
    <w:basedOn w:val="Policepardfaut"/>
    <w:uiPriority w:val="99"/>
    <w:unhideWhenUsed/>
    <w:rsid w:val="00F80CD8"/>
    <w:rPr>
      <w:color w:val="0000FF" w:themeColor="hyperlink"/>
      <w:u w:val="single"/>
    </w:rPr>
  </w:style>
  <w:style w:type="character" w:customStyle="1" w:styleId="object">
    <w:name w:val="object"/>
    <w:basedOn w:val="Policepardfaut"/>
    <w:rsid w:val="006A22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notebasdepage">
    <w:name w:val="footnote reference"/>
    <w:aliases w:val="note de bas de page"/>
    <w:basedOn w:val="Policepardfaut"/>
    <w:rsid w:val="00EB42E2"/>
    <w:rPr>
      <w:position w:val="6"/>
      <w:sz w:val="16"/>
    </w:rPr>
  </w:style>
  <w:style w:type="paragraph" w:styleId="Textedebulles">
    <w:name w:val="Balloon Text"/>
    <w:basedOn w:val="Normal"/>
    <w:link w:val="TextedebullesCar"/>
    <w:uiPriority w:val="99"/>
    <w:semiHidden/>
    <w:unhideWhenUsed/>
    <w:rsid w:val="00BF0D8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F0D8F"/>
    <w:rPr>
      <w:rFonts w:ascii="Lucida Grande" w:hAnsi="Lucida Grande" w:cs="Lucida Grande"/>
      <w:sz w:val="18"/>
      <w:szCs w:val="18"/>
      <w:lang w:eastAsia="fr-FR"/>
    </w:rPr>
  </w:style>
  <w:style w:type="paragraph" w:styleId="En-tte">
    <w:name w:val="header"/>
    <w:basedOn w:val="Normal"/>
    <w:link w:val="En-tteCar"/>
    <w:unhideWhenUsed/>
    <w:rsid w:val="00E51132"/>
    <w:pPr>
      <w:tabs>
        <w:tab w:val="center" w:pos="4536"/>
        <w:tab w:val="right" w:pos="9072"/>
      </w:tabs>
    </w:pPr>
  </w:style>
  <w:style w:type="character" w:customStyle="1" w:styleId="En-tteCar">
    <w:name w:val="En-tête Car"/>
    <w:basedOn w:val="Policepardfaut"/>
    <w:link w:val="En-tte"/>
    <w:rsid w:val="00E51132"/>
    <w:rPr>
      <w:sz w:val="24"/>
      <w:szCs w:val="24"/>
      <w:lang w:eastAsia="fr-FR"/>
    </w:rPr>
  </w:style>
  <w:style w:type="paragraph" w:styleId="Pieddepage">
    <w:name w:val="footer"/>
    <w:basedOn w:val="Normal"/>
    <w:link w:val="PieddepageCar"/>
    <w:uiPriority w:val="99"/>
    <w:unhideWhenUsed/>
    <w:rsid w:val="00E51132"/>
    <w:pPr>
      <w:tabs>
        <w:tab w:val="center" w:pos="4536"/>
        <w:tab w:val="right" w:pos="9072"/>
      </w:tabs>
    </w:pPr>
  </w:style>
  <w:style w:type="character" w:customStyle="1" w:styleId="PieddepageCar">
    <w:name w:val="Pied de page Car"/>
    <w:basedOn w:val="Policepardfaut"/>
    <w:link w:val="Pieddepage"/>
    <w:uiPriority w:val="99"/>
    <w:rsid w:val="00E51132"/>
    <w:rPr>
      <w:sz w:val="24"/>
      <w:szCs w:val="24"/>
      <w:lang w:eastAsia="fr-FR"/>
    </w:rPr>
  </w:style>
  <w:style w:type="character" w:styleId="Lienhypertexte">
    <w:name w:val="Hyperlink"/>
    <w:basedOn w:val="Policepardfaut"/>
    <w:uiPriority w:val="99"/>
    <w:unhideWhenUsed/>
    <w:rsid w:val="00F80CD8"/>
    <w:rPr>
      <w:color w:val="0000FF" w:themeColor="hyperlink"/>
      <w:u w:val="single"/>
    </w:rPr>
  </w:style>
  <w:style w:type="character" w:customStyle="1" w:styleId="object">
    <w:name w:val="object"/>
    <w:basedOn w:val="Policepardfaut"/>
    <w:rsid w:val="006A225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22Ev&#232;nements%22%20%3cevenements@espe-aquitaine.fr%3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firse2017.sciencesconf.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6845</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A</Company>
  <LinksUpToDate>false</LinksUpToDate>
  <CharactersWithSpaces>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CLIENT11</cp:lastModifiedBy>
  <cp:revision>2</cp:revision>
  <dcterms:created xsi:type="dcterms:W3CDTF">2017-04-27T11:31:00Z</dcterms:created>
  <dcterms:modified xsi:type="dcterms:W3CDTF">2017-04-27T11:31:00Z</dcterms:modified>
</cp:coreProperties>
</file>