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ED" w:rsidRPr="00295FFE" w:rsidRDefault="005F6FED" w:rsidP="005F6FED">
      <w:pPr>
        <w:rPr>
          <w:color w:val="17365D" w:themeColor="text2" w:themeShade="BF"/>
        </w:rPr>
      </w:pPr>
      <w:r w:rsidRPr="00295FFE">
        <w:rPr>
          <w:b/>
          <w:color w:val="17365D" w:themeColor="text2" w:themeShade="BF"/>
        </w:rPr>
        <w:t>Colloque International</w:t>
      </w:r>
      <w:r w:rsidRPr="00295FFE">
        <w:rPr>
          <w:color w:val="17365D" w:themeColor="text2" w:themeShade="BF"/>
        </w:rPr>
        <w:t xml:space="preserve">, </w:t>
      </w:r>
      <w:r w:rsidRPr="00295FFE">
        <w:rPr>
          <w:b/>
          <w:color w:val="17365D" w:themeColor="text2" w:themeShade="BF"/>
        </w:rPr>
        <w:t xml:space="preserve">Bordeaux </w:t>
      </w:r>
      <w:r w:rsidR="00E21DB8" w:rsidRPr="00295FFE">
        <w:rPr>
          <w:b/>
          <w:color w:val="17365D" w:themeColor="text2" w:themeShade="BF"/>
        </w:rPr>
        <w:t xml:space="preserve">10, 11, 12 </w:t>
      </w:r>
      <w:r w:rsidR="003724EA" w:rsidRPr="00295FFE">
        <w:rPr>
          <w:b/>
          <w:color w:val="17365D" w:themeColor="text2" w:themeShade="BF"/>
        </w:rPr>
        <w:t>juillet</w:t>
      </w:r>
      <w:r w:rsidRPr="00295FFE">
        <w:rPr>
          <w:b/>
          <w:color w:val="17365D" w:themeColor="text2" w:themeShade="BF"/>
        </w:rPr>
        <w:t xml:space="preserve"> 2017</w:t>
      </w:r>
    </w:p>
    <w:p w:rsidR="005F6FED" w:rsidRDefault="005F6FED" w:rsidP="005F6FED">
      <w:pPr>
        <w:rPr>
          <w:sz w:val="22"/>
          <w:szCs w:val="22"/>
        </w:rPr>
      </w:pPr>
    </w:p>
    <w:p w:rsidR="00295FFE" w:rsidRPr="00295FFE" w:rsidRDefault="00295FFE" w:rsidP="005F6FED">
      <w:pPr>
        <w:rPr>
          <w:sz w:val="22"/>
          <w:szCs w:val="22"/>
        </w:rPr>
      </w:pPr>
    </w:p>
    <w:p w:rsidR="005F6FED" w:rsidRPr="00295FFE" w:rsidRDefault="005F6FED" w:rsidP="005F6FED">
      <w:pPr>
        <w:rPr>
          <w:sz w:val="22"/>
          <w:szCs w:val="22"/>
        </w:rPr>
      </w:pPr>
    </w:p>
    <w:p w:rsidR="005F6FED" w:rsidRPr="00295FFE" w:rsidRDefault="005F6FED" w:rsidP="00295FFE">
      <w:pPr>
        <w:pStyle w:val="En-tte"/>
        <w:tabs>
          <w:tab w:val="clear" w:pos="4536"/>
          <w:tab w:val="clear" w:pos="9072"/>
        </w:tabs>
        <w:spacing w:line="360" w:lineRule="auto"/>
        <w:ind w:right="-8"/>
        <w:jc w:val="center"/>
        <w:rPr>
          <w:b/>
          <w:caps/>
          <w:color w:val="17365D" w:themeColor="text2" w:themeShade="BF"/>
          <w:sz w:val="22"/>
          <w:szCs w:val="22"/>
        </w:rPr>
      </w:pPr>
      <w:r w:rsidRPr="00295FFE">
        <w:rPr>
          <w:b/>
          <w:caps/>
          <w:color w:val="17365D" w:themeColor="text2" w:themeShade="BF"/>
          <w:sz w:val="22"/>
          <w:szCs w:val="22"/>
        </w:rPr>
        <w:t>cooPÉrATION, Éducation, formATION</w:t>
      </w:r>
    </w:p>
    <w:p w:rsidR="005F6FED" w:rsidRPr="00295FFE" w:rsidRDefault="00295FFE" w:rsidP="00295FFE">
      <w:pPr>
        <w:spacing w:line="360" w:lineRule="auto"/>
        <w:jc w:val="center"/>
        <w:rPr>
          <w:b/>
          <w:color w:val="17365D" w:themeColor="text2" w:themeShade="BF"/>
          <w:sz w:val="22"/>
          <w:szCs w:val="22"/>
        </w:rPr>
      </w:pPr>
      <w:r w:rsidRPr="00295FFE">
        <w:rPr>
          <w:b/>
          <w:color w:val="17365D" w:themeColor="text2" w:themeShade="BF"/>
          <w:szCs w:val="22"/>
        </w:rPr>
        <w:t>L</w:t>
      </w:r>
      <w:r w:rsidR="00D01591" w:rsidRPr="00295FFE">
        <w:rPr>
          <w:b/>
          <w:color w:val="17365D" w:themeColor="text2" w:themeShade="BF"/>
          <w:szCs w:val="22"/>
        </w:rPr>
        <w:t xml:space="preserve">a pédagogie Freinet </w:t>
      </w:r>
      <w:r w:rsidR="000D31DA" w:rsidRPr="00295FFE">
        <w:rPr>
          <w:b/>
          <w:color w:val="17365D" w:themeColor="text2" w:themeShade="BF"/>
          <w:szCs w:val="22"/>
        </w:rPr>
        <w:t>face aux défis du XXIe siècle</w:t>
      </w:r>
    </w:p>
    <w:p w:rsidR="00295FFE" w:rsidRPr="00295FFE" w:rsidRDefault="00295FFE" w:rsidP="00295FFE">
      <w:pPr>
        <w:spacing w:line="360" w:lineRule="auto"/>
        <w:rPr>
          <w:sz w:val="22"/>
          <w:szCs w:val="22"/>
        </w:rPr>
      </w:pPr>
    </w:p>
    <w:p w:rsidR="005F6FED" w:rsidRPr="00295FFE" w:rsidRDefault="005F6FED" w:rsidP="005F6FED">
      <w:pPr>
        <w:rPr>
          <w:sz w:val="22"/>
          <w:szCs w:val="22"/>
        </w:rPr>
      </w:pPr>
    </w:p>
    <w:p w:rsidR="005F6FED" w:rsidRPr="00517347" w:rsidRDefault="005F6FED" w:rsidP="005F6FED">
      <w:pPr>
        <w:rPr>
          <w:b/>
          <w:i/>
          <w:color w:val="17365D" w:themeColor="text2" w:themeShade="BF"/>
          <w:sz w:val="21"/>
          <w:szCs w:val="21"/>
        </w:rPr>
      </w:pPr>
      <w:r w:rsidRPr="00517347">
        <w:rPr>
          <w:b/>
          <w:i/>
          <w:color w:val="17365D" w:themeColor="text2" w:themeShade="BF"/>
          <w:sz w:val="21"/>
          <w:szCs w:val="21"/>
        </w:rPr>
        <w:t>La coopération comme co-organisation</w:t>
      </w:r>
    </w:p>
    <w:p w:rsidR="00295FFE" w:rsidRDefault="00295FFE" w:rsidP="005F6FED">
      <w:pPr>
        <w:jc w:val="both"/>
        <w:rPr>
          <w:sz w:val="22"/>
          <w:szCs w:val="22"/>
        </w:rPr>
      </w:pPr>
    </w:p>
    <w:p w:rsidR="007B6350" w:rsidRPr="00295FFE" w:rsidRDefault="007B6350" w:rsidP="005F6FED">
      <w:pPr>
        <w:jc w:val="both"/>
        <w:rPr>
          <w:sz w:val="22"/>
          <w:szCs w:val="22"/>
        </w:rPr>
      </w:pPr>
    </w:p>
    <w:p w:rsidR="005F6FED" w:rsidRPr="00517347" w:rsidRDefault="005F6FED" w:rsidP="005F6FED">
      <w:pPr>
        <w:jc w:val="both"/>
        <w:rPr>
          <w:sz w:val="21"/>
          <w:szCs w:val="21"/>
        </w:rPr>
      </w:pPr>
      <w:r w:rsidRPr="00517347">
        <w:rPr>
          <w:b/>
          <w:color w:val="17365D" w:themeColor="text2" w:themeShade="BF"/>
          <w:sz w:val="21"/>
          <w:szCs w:val="21"/>
        </w:rPr>
        <w:t>L’AFIRSE section française</w:t>
      </w:r>
      <w:r w:rsidRPr="00517347">
        <w:rPr>
          <w:sz w:val="21"/>
          <w:szCs w:val="21"/>
        </w:rPr>
        <w:t xml:space="preserve">a engagé un travail de réflexion sur l’Éducation Nouvelle depuis 2012 : </w:t>
      </w:r>
    </w:p>
    <w:p w:rsidR="005F6FED" w:rsidRPr="00517347" w:rsidRDefault="005F6FED" w:rsidP="005F6FED">
      <w:pPr>
        <w:pStyle w:val="Paragraphedeliste"/>
        <w:numPr>
          <w:ilvl w:val="0"/>
          <w:numId w:val="1"/>
        </w:numPr>
        <w:jc w:val="both"/>
        <w:rPr>
          <w:sz w:val="21"/>
          <w:szCs w:val="21"/>
        </w:rPr>
      </w:pPr>
      <w:r w:rsidRPr="00517347">
        <w:rPr>
          <w:sz w:val="21"/>
          <w:szCs w:val="21"/>
        </w:rPr>
        <w:t>Deux séminaires (décembre 2012 et décembre 2013), co-organisés avec le département SE de l’Université François Rabelais (Tours), ont pris pour socle la question des “conditions de l’éducation“ (référence de départ aux travaux de Blais, Gauchet, Ottavi), ainsi que celle de la refondation de l’École (annoncée par le ministre Vincent Peillon).</w:t>
      </w:r>
    </w:p>
    <w:p w:rsidR="005F6FED" w:rsidRPr="00517347" w:rsidRDefault="005F6FED" w:rsidP="005F6FED">
      <w:pPr>
        <w:pStyle w:val="Paragraphedeliste"/>
        <w:numPr>
          <w:ilvl w:val="0"/>
          <w:numId w:val="1"/>
        </w:numPr>
        <w:jc w:val="both"/>
        <w:rPr>
          <w:sz w:val="21"/>
          <w:szCs w:val="21"/>
        </w:rPr>
      </w:pPr>
      <w:r w:rsidRPr="00517347">
        <w:rPr>
          <w:sz w:val="21"/>
          <w:szCs w:val="21"/>
        </w:rPr>
        <w:t xml:space="preserve">Deux numéros (2012 et 2014) de la revue </w:t>
      </w:r>
      <w:r w:rsidRPr="00517347">
        <w:rPr>
          <w:i/>
          <w:sz w:val="21"/>
          <w:szCs w:val="21"/>
        </w:rPr>
        <w:t>l’Année de la recherche en sciences de l’éducation</w:t>
      </w:r>
      <w:r w:rsidRPr="00517347">
        <w:rPr>
          <w:sz w:val="21"/>
          <w:szCs w:val="21"/>
        </w:rPr>
        <w:t xml:space="preserve"> (titrés “Conditions de l’éducation et perspectives pour l’éducation nouvelle“, I et II) ont poursuivi ce travail de réflexion. Un ouvrage collectif, en élaboration, doit le prolonger.</w:t>
      </w:r>
    </w:p>
    <w:p w:rsidR="005F6FED" w:rsidRPr="00517347" w:rsidRDefault="005F6FED" w:rsidP="005F6FED">
      <w:pPr>
        <w:jc w:val="both"/>
        <w:rPr>
          <w:sz w:val="21"/>
          <w:szCs w:val="21"/>
        </w:rPr>
      </w:pPr>
    </w:p>
    <w:p w:rsidR="005F6FED" w:rsidRPr="00517347" w:rsidRDefault="005F6FED" w:rsidP="005F6FED">
      <w:pPr>
        <w:jc w:val="both"/>
        <w:rPr>
          <w:rFonts w:eastAsia="Times New Roman"/>
          <w:sz w:val="21"/>
          <w:szCs w:val="21"/>
        </w:rPr>
      </w:pPr>
      <w:r w:rsidRPr="00517347">
        <w:rPr>
          <w:b/>
          <w:color w:val="17365D" w:themeColor="text2" w:themeShade="BF"/>
          <w:sz w:val="21"/>
          <w:szCs w:val="21"/>
        </w:rPr>
        <w:t>L’Institut Coopératif de l’École Moderne</w:t>
      </w:r>
      <w:r w:rsidRPr="00517347">
        <w:rPr>
          <w:sz w:val="21"/>
          <w:szCs w:val="21"/>
        </w:rPr>
        <w:t>(ICEM</w:t>
      </w:r>
      <w:r w:rsidRPr="00260633">
        <w:rPr>
          <w:rStyle w:val="Appelnotedebasdep"/>
          <w:szCs w:val="16"/>
        </w:rPr>
        <w:footnoteReference w:id="2"/>
      </w:r>
      <w:r w:rsidRPr="00517347">
        <w:rPr>
          <w:sz w:val="21"/>
          <w:szCs w:val="21"/>
        </w:rPr>
        <w:t>)</w:t>
      </w:r>
      <w:r w:rsidR="00790801">
        <w:rPr>
          <w:sz w:val="21"/>
          <w:szCs w:val="21"/>
        </w:rPr>
        <w:t>, et</w:t>
      </w:r>
      <w:r w:rsidR="00790801" w:rsidRPr="00790801">
        <w:rPr>
          <w:b/>
          <w:sz w:val="21"/>
          <w:szCs w:val="21"/>
        </w:rPr>
        <w:t>la Fédération des Mouvements de l’Ecole Moderne</w:t>
      </w:r>
      <w:r w:rsidR="00790801">
        <w:rPr>
          <w:sz w:val="21"/>
          <w:szCs w:val="21"/>
        </w:rPr>
        <w:t>(</w:t>
      </w:r>
      <w:r w:rsidR="00790801" w:rsidRPr="00517347">
        <w:rPr>
          <w:sz w:val="21"/>
          <w:szCs w:val="21"/>
        </w:rPr>
        <w:t>FIMEM</w:t>
      </w:r>
      <w:r w:rsidR="00790801">
        <w:rPr>
          <w:sz w:val="21"/>
          <w:szCs w:val="21"/>
        </w:rPr>
        <w:t xml:space="preserve">)qui </w:t>
      </w:r>
      <w:r w:rsidRPr="00517347">
        <w:rPr>
          <w:sz w:val="21"/>
          <w:szCs w:val="21"/>
        </w:rPr>
        <w:t>fédère, depuis des décennies, le</w:t>
      </w:r>
      <w:r w:rsidR="00790801">
        <w:rPr>
          <w:sz w:val="21"/>
          <w:szCs w:val="21"/>
        </w:rPr>
        <w:t>s</w:t>
      </w:r>
      <w:r w:rsidRPr="00517347">
        <w:rPr>
          <w:sz w:val="21"/>
          <w:szCs w:val="21"/>
        </w:rPr>
        <w:t xml:space="preserve"> Mouvement</w:t>
      </w:r>
      <w:r w:rsidR="00790801">
        <w:rPr>
          <w:sz w:val="21"/>
          <w:szCs w:val="21"/>
        </w:rPr>
        <w:t>s</w:t>
      </w:r>
      <w:r w:rsidRPr="00517347">
        <w:rPr>
          <w:sz w:val="21"/>
          <w:szCs w:val="21"/>
        </w:rPr>
        <w:t xml:space="preserve"> de l’École Moderne, qui se développe</w:t>
      </w:r>
      <w:r w:rsidR="00790801">
        <w:rPr>
          <w:sz w:val="21"/>
          <w:szCs w:val="21"/>
        </w:rPr>
        <w:t>nt</w:t>
      </w:r>
      <w:r w:rsidRPr="00517347">
        <w:rPr>
          <w:sz w:val="21"/>
          <w:szCs w:val="21"/>
        </w:rPr>
        <w:t xml:space="preserve">, </w:t>
      </w:r>
      <w:r w:rsidRPr="00517347">
        <w:rPr>
          <w:rFonts w:eastAsia="Times New Roman"/>
          <w:sz w:val="21"/>
          <w:szCs w:val="21"/>
        </w:rPr>
        <w:t xml:space="preserve">en Afrique, en Asie et en Amérique, inspirant les pratiques de nombreux enseignants. Les </w:t>
      </w:r>
      <w:r w:rsidRPr="00517347">
        <w:rPr>
          <w:sz w:val="21"/>
          <w:szCs w:val="21"/>
        </w:rPr>
        <w:t>nombreuses sollicitations nationales et internationales dont il</w:t>
      </w:r>
      <w:r w:rsidR="00790801">
        <w:rPr>
          <w:sz w:val="21"/>
          <w:szCs w:val="21"/>
        </w:rPr>
        <w:t xml:space="preserve">s </w:t>
      </w:r>
      <w:r w:rsidRPr="00517347">
        <w:rPr>
          <w:sz w:val="21"/>
          <w:szCs w:val="21"/>
        </w:rPr>
        <w:t>s</w:t>
      </w:r>
      <w:r w:rsidR="00790801">
        <w:rPr>
          <w:sz w:val="21"/>
          <w:szCs w:val="21"/>
        </w:rPr>
        <w:t>on</w:t>
      </w:r>
      <w:r w:rsidRPr="00517347">
        <w:rPr>
          <w:sz w:val="21"/>
          <w:szCs w:val="21"/>
        </w:rPr>
        <w:t xml:space="preserve">t l’objet </w:t>
      </w:r>
      <w:r w:rsidR="009413F6">
        <w:rPr>
          <w:sz w:val="21"/>
          <w:szCs w:val="21"/>
        </w:rPr>
        <w:t>témoignent du rayonnement de leurs travaux</w:t>
      </w:r>
      <w:r w:rsidRPr="00517347">
        <w:rPr>
          <w:sz w:val="21"/>
          <w:szCs w:val="21"/>
        </w:rPr>
        <w:t>.</w:t>
      </w:r>
    </w:p>
    <w:p w:rsidR="005F6FED" w:rsidRPr="00517347" w:rsidRDefault="005F6FED" w:rsidP="005F6FED">
      <w:pPr>
        <w:jc w:val="both"/>
        <w:rPr>
          <w:rFonts w:eastAsia="Times New Roman"/>
          <w:sz w:val="21"/>
          <w:szCs w:val="21"/>
        </w:rPr>
      </w:pPr>
    </w:p>
    <w:p w:rsidR="005F6FED" w:rsidRPr="00517347" w:rsidRDefault="00E21DB8" w:rsidP="005F6FED">
      <w:pPr>
        <w:jc w:val="both"/>
        <w:rPr>
          <w:sz w:val="21"/>
          <w:szCs w:val="21"/>
          <w:lang w:eastAsia="ja-JP"/>
        </w:rPr>
      </w:pPr>
      <w:r w:rsidRPr="00517347">
        <w:rPr>
          <w:b/>
          <w:color w:val="17365D" w:themeColor="text2" w:themeShade="BF"/>
          <w:sz w:val="21"/>
          <w:szCs w:val="21"/>
          <w:lang w:eastAsia="ja-JP"/>
        </w:rPr>
        <w:t>Le LACES</w:t>
      </w:r>
      <w:r w:rsidR="00295FFE" w:rsidRPr="00517347">
        <w:rPr>
          <w:b/>
          <w:color w:val="17365D" w:themeColor="text2" w:themeShade="BF"/>
          <w:sz w:val="21"/>
          <w:szCs w:val="21"/>
          <w:lang w:eastAsia="ja-JP"/>
        </w:rPr>
        <w:t>- EA7437</w:t>
      </w:r>
      <w:r w:rsidRPr="00517347">
        <w:rPr>
          <w:sz w:val="21"/>
          <w:szCs w:val="21"/>
          <w:lang w:eastAsia="ja-JP"/>
        </w:rPr>
        <w:t>est une unité de recherche rattachée à l'Université de Bordeaux, riche de 45 enseignants-chercheurs titulaires et d'une quarantaine de doctorants, rassemblant trois équipes internes, en Sciences de l'éducati</w:t>
      </w:r>
      <w:r w:rsidR="00D5367E" w:rsidRPr="00517347">
        <w:rPr>
          <w:sz w:val="21"/>
          <w:szCs w:val="21"/>
          <w:lang w:eastAsia="ja-JP"/>
        </w:rPr>
        <w:t>on, Langues et Cultures et STAPS</w:t>
      </w:r>
      <w:r w:rsidRPr="00517347">
        <w:rPr>
          <w:sz w:val="21"/>
          <w:szCs w:val="21"/>
          <w:lang w:eastAsia="ja-JP"/>
        </w:rPr>
        <w:t>, fédérées autour de thèmes de recherche dans le domaine de l'analyse des politiques publiques, des phénomènes de prévention et d'intervention en milieu socio-éducatif, et de régulation de la diversité.  Le LACES est structuré autour de quatre axes fédérateurs qui organisent sa vie scientifique : Action publique ; Diversité ; Intervention &amp; Prévention ; Professions.</w:t>
      </w:r>
    </w:p>
    <w:p w:rsidR="00E21DB8" w:rsidRPr="00517347" w:rsidRDefault="00E21DB8" w:rsidP="005F6FED">
      <w:pPr>
        <w:jc w:val="both"/>
        <w:rPr>
          <w:sz w:val="21"/>
          <w:szCs w:val="21"/>
          <w:lang w:eastAsia="ja-JP"/>
        </w:rPr>
      </w:pPr>
    </w:p>
    <w:p w:rsidR="00E21DB8" w:rsidRPr="00517347" w:rsidRDefault="00E21DB8" w:rsidP="005F6FED">
      <w:pPr>
        <w:jc w:val="both"/>
        <w:rPr>
          <w:sz w:val="21"/>
          <w:szCs w:val="21"/>
          <w:lang w:eastAsia="ja-JP"/>
        </w:rPr>
      </w:pPr>
      <w:r w:rsidRPr="00517347">
        <w:rPr>
          <w:b/>
          <w:color w:val="17365D" w:themeColor="text2" w:themeShade="BF"/>
          <w:sz w:val="21"/>
          <w:szCs w:val="21"/>
          <w:lang w:eastAsia="ja-JP"/>
        </w:rPr>
        <w:t>L'ESPE</w:t>
      </w:r>
      <w:r w:rsidR="00D5367E" w:rsidRPr="00517347">
        <w:rPr>
          <w:b/>
          <w:color w:val="17365D" w:themeColor="text2" w:themeShade="BF"/>
          <w:sz w:val="21"/>
          <w:szCs w:val="21"/>
          <w:lang w:eastAsia="ja-JP"/>
        </w:rPr>
        <w:t xml:space="preserve"> d'Aquitaine</w:t>
      </w:r>
      <w:r w:rsidR="00D5367E" w:rsidRPr="00517347">
        <w:rPr>
          <w:sz w:val="21"/>
          <w:szCs w:val="21"/>
          <w:lang w:eastAsia="ja-JP"/>
        </w:rPr>
        <w:t>est rattachée à l'U</w:t>
      </w:r>
      <w:r w:rsidRPr="00517347">
        <w:rPr>
          <w:sz w:val="21"/>
          <w:szCs w:val="21"/>
          <w:lang w:eastAsia="ja-JP"/>
        </w:rPr>
        <w:t xml:space="preserve">niversité de Bordeaux et accueille les professionnels de l'éducation, dont elle assure la formation initiale à la formation tout au long de la vie, en lien avec ses nombreux partenaires aquitains, notamment le Rectorat. Elle délivre le Master MEEF, décliné en </w:t>
      </w:r>
      <w:r w:rsidR="00D5367E" w:rsidRPr="00517347">
        <w:rPr>
          <w:sz w:val="21"/>
          <w:szCs w:val="21"/>
          <w:lang w:eastAsia="ja-JP"/>
        </w:rPr>
        <w:t>quatre</w:t>
      </w:r>
      <w:r w:rsidRPr="00517347">
        <w:rPr>
          <w:sz w:val="21"/>
          <w:szCs w:val="21"/>
          <w:lang w:eastAsia="ja-JP"/>
        </w:rPr>
        <w:t xml:space="preserve"> mentions: 1er </w:t>
      </w:r>
      <w:r w:rsidR="00D5367E" w:rsidRPr="00517347">
        <w:rPr>
          <w:sz w:val="21"/>
          <w:szCs w:val="21"/>
          <w:lang w:eastAsia="ja-JP"/>
        </w:rPr>
        <w:t>degré, 2nd degré, Encadrement éducatif, Projet et Ingénierie de la Formation.</w:t>
      </w:r>
      <w:r w:rsidRPr="00517347">
        <w:rPr>
          <w:sz w:val="21"/>
          <w:szCs w:val="21"/>
          <w:lang w:eastAsia="ja-JP"/>
        </w:rPr>
        <w:t xml:space="preserve"> L'ESPE assume en</w:t>
      </w:r>
      <w:r w:rsidR="00D5367E" w:rsidRPr="00517347">
        <w:rPr>
          <w:sz w:val="21"/>
          <w:szCs w:val="21"/>
          <w:lang w:eastAsia="ja-JP"/>
        </w:rPr>
        <w:t xml:space="preserve"> outre une mission d'internatio</w:t>
      </w:r>
      <w:r w:rsidRPr="00517347">
        <w:rPr>
          <w:sz w:val="21"/>
          <w:szCs w:val="21"/>
          <w:lang w:eastAsia="ja-JP"/>
        </w:rPr>
        <w:t xml:space="preserve">nalisation de </w:t>
      </w:r>
      <w:r w:rsidR="00D5367E" w:rsidRPr="00517347">
        <w:rPr>
          <w:sz w:val="21"/>
          <w:szCs w:val="21"/>
          <w:lang w:eastAsia="ja-JP"/>
        </w:rPr>
        <w:t>la formation</w:t>
      </w:r>
      <w:r w:rsidRPr="00517347">
        <w:rPr>
          <w:sz w:val="21"/>
          <w:szCs w:val="21"/>
          <w:lang w:eastAsia="ja-JP"/>
        </w:rPr>
        <w:t xml:space="preserve"> et de promotion de la recherche sur l'éducation ; elle soutient dans le cadre de cette mission des projets de recherche et de recherche-action associant les unités de recherche aquitaines intéressées par l'éducation et la formation.</w:t>
      </w:r>
    </w:p>
    <w:p w:rsidR="00E21DB8" w:rsidRPr="00517347" w:rsidRDefault="00E21DB8" w:rsidP="005F6FED">
      <w:pPr>
        <w:jc w:val="both"/>
        <w:rPr>
          <w:rFonts w:eastAsia="Times New Roman"/>
          <w:sz w:val="21"/>
          <w:szCs w:val="21"/>
        </w:rPr>
      </w:pPr>
    </w:p>
    <w:p w:rsidR="005F6FED" w:rsidRPr="00517347" w:rsidRDefault="005F6FED" w:rsidP="005F6FED">
      <w:pPr>
        <w:jc w:val="both"/>
        <w:rPr>
          <w:rFonts w:eastAsia="Times New Roman"/>
          <w:sz w:val="21"/>
          <w:szCs w:val="21"/>
        </w:rPr>
      </w:pPr>
      <w:r w:rsidRPr="00517347">
        <w:rPr>
          <w:rFonts w:eastAsia="Times New Roman"/>
          <w:sz w:val="21"/>
          <w:szCs w:val="21"/>
        </w:rPr>
        <w:t xml:space="preserve">Ces quatre organisations ont décidé d’une coopération sous la forme </w:t>
      </w:r>
      <w:r w:rsidRPr="00517347">
        <w:rPr>
          <w:rFonts w:eastAsia="Times New Roman"/>
          <w:b/>
          <w:color w:val="17365D" w:themeColor="text2" w:themeShade="BF"/>
          <w:sz w:val="21"/>
          <w:szCs w:val="21"/>
        </w:rPr>
        <w:t>d</w:t>
      </w:r>
      <w:r w:rsidR="004F5B78" w:rsidRPr="00517347">
        <w:rPr>
          <w:rFonts w:eastAsia="Times New Roman"/>
          <w:b/>
          <w:color w:val="17365D" w:themeColor="text2" w:themeShade="BF"/>
          <w:sz w:val="21"/>
          <w:szCs w:val="21"/>
        </w:rPr>
        <w:t xml:space="preserve">’un colloque international </w:t>
      </w:r>
      <w:r w:rsidR="00C16D7E" w:rsidRPr="00517347">
        <w:rPr>
          <w:rFonts w:eastAsia="Times New Roman"/>
          <w:b/>
          <w:color w:val="17365D" w:themeColor="text2" w:themeShade="BF"/>
          <w:sz w:val="21"/>
          <w:szCs w:val="21"/>
        </w:rPr>
        <w:t xml:space="preserve">centré sur la Pédagogie Freinet </w:t>
      </w:r>
      <w:r w:rsidR="004F5B78" w:rsidRPr="00517347">
        <w:rPr>
          <w:rFonts w:eastAsia="Times New Roman"/>
          <w:sz w:val="21"/>
          <w:szCs w:val="21"/>
        </w:rPr>
        <w:t>(10, 11, 12 juillet</w:t>
      </w:r>
      <w:r w:rsidRPr="00517347">
        <w:rPr>
          <w:rFonts w:eastAsia="Times New Roman"/>
          <w:sz w:val="21"/>
          <w:szCs w:val="21"/>
        </w:rPr>
        <w:t xml:space="preserve"> 2017).</w:t>
      </w:r>
    </w:p>
    <w:p w:rsidR="005F6FED" w:rsidRPr="00517347" w:rsidRDefault="005F6FED" w:rsidP="005F6FED">
      <w:pPr>
        <w:jc w:val="both"/>
        <w:rPr>
          <w:rFonts w:eastAsia="Times New Roman"/>
          <w:sz w:val="21"/>
          <w:szCs w:val="21"/>
        </w:rPr>
      </w:pPr>
    </w:p>
    <w:p w:rsidR="00295FFE" w:rsidRPr="00517347" w:rsidRDefault="00295FFE" w:rsidP="005F6FED">
      <w:pPr>
        <w:jc w:val="both"/>
        <w:rPr>
          <w:rFonts w:eastAsia="Times New Roman"/>
          <w:sz w:val="21"/>
          <w:szCs w:val="21"/>
        </w:rPr>
      </w:pPr>
    </w:p>
    <w:p w:rsidR="00295FFE" w:rsidRPr="00517347" w:rsidRDefault="00295FFE" w:rsidP="005F6FED">
      <w:pPr>
        <w:jc w:val="both"/>
        <w:rPr>
          <w:rFonts w:eastAsia="Times New Roman"/>
          <w:sz w:val="21"/>
          <w:szCs w:val="21"/>
        </w:rPr>
      </w:pPr>
      <w:bookmarkStart w:id="0" w:name="_GoBack"/>
      <w:bookmarkEnd w:id="0"/>
    </w:p>
    <w:p w:rsidR="00295FFE" w:rsidRPr="00517347" w:rsidRDefault="00295FFE" w:rsidP="005F6FED">
      <w:pPr>
        <w:jc w:val="both"/>
        <w:rPr>
          <w:rFonts w:eastAsia="Times New Roman"/>
          <w:sz w:val="21"/>
          <w:szCs w:val="21"/>
        </w:rPr>
      </w:pPr>
    </w:p>
    <w:p w:rsidR="00295FFE" w:rsidRPr="00517347" w:rsidRDefault="00295FFE" w:rsidP="005F6FED">
      <w:pPr>
        <w:jc w:val="both"/>
        <w:rPr>
          <w:rFonts w:eastAsia="Times New Roman"/>
          <w:sz w:val="21"/>
          <w:szCs w:val="21"/>
        </w:rPr>
      </w:pPr>
    </w:p>
    <w:p w:rsidR="00295FFE" w:rsidRPr="00517347" w:rsidRDefault="00295FFE" w:rsidP="005F6FED">
      <w:pPr>
        <w:jc w:val="both"/>
        <w:rPr>
          <w:rFonts w:eastAsia="Times New Roman"/>
          <w:sz w:val="21"/>
          <w:szCs w:val="21"/>
        </w:rPr>
      </w:pPr>
    </w:p>
    <w:p w:rsidR="00295FFE" w:rsidRDefault="00295FFE" w:rsidP="005F6FED">
      <w:pPr>
        <w:jc w:val="both"/>
        <w:rPr>
          <w:rFonts w:eastAsia="Times New Roman"/>
          <w:sz w:val="21"/>
          <w:szCs w:val="21"/>
        </w:rPr>
      </w:pPr>
    </w:p>
    <w:p w:rsidR="00517347" w:rsidRDefault="00517347" w:rsidP="005F6FED">
      <w:pPr>
        <w:jc w:val="both"/>
        <w:rPr>
          <w:rFonts w:eastAsia="Times New Roman"/>
          <w:sz w:val="21"/>
          <w:szCs w:val="21"/>
        </w:rPr>
      </w:pPr>
    </w:p>
    <w:p w:rsidR="00517347" w:rsidRPr="00517347" w:rsidRDefault="00517347" w:rsidP="005F6FED">
      <w:pPr>
        <w:jc w:val="both"/>
        <w:rPr>
          <w:rFonts w:eastAsia="Times New Roman"/>
          <w:sz w:val="21"/>
          <w:szCs w:val="21"/>
        </w:rPr>
      </w:pPr>
    </w:p>
    <w:p w:rsidR="00295FFE" w:rsidRPr="00517347" w:rsidRDefault="00295FFE" w:rsidP="005F6FED">
      <w:pPr>
        <w:jc w:val="both"/>
        <w:rPr>
          <w:rFonts w:eastAsia="Times New Roman"/>
          <w:sz w:val="21"/>
          <w:szCs w:val="21"/>
        </w:rPr>
      </w:pPr>
    </w:p>
    <w:p w:rsidR="005F6FED" w:rsidRPr="00517347" w:rsidRDefault="005F6FED" w:rsidP="005F6FED">
      <w:pPr>
        <w:jc w:val="both"/>
        <w:rPr>
          <w:rFonts w:eastAsia="Times New Roman"/>
          <w:b/>
          <w:i/>
          <w:color w:val="17365D" w:themeColor="text2" w:themeShade="BF"/>
          <w:sz w:val="21"/>
          <w:szCs w:val="21"/>
        </w:rPr>
      </w:pPr>
      <w:r w:rsidRPr="00517347">
        <w:rPr>
          <w:rFonts w:eastAsia="Times New Roman"/>
          <w:b/>
          <w:i/>
          <w:color w:val="17365D" w:themeColor="text2" w:themeShade="BF"/>
          <w:sz w:val="21"/>
          <w:szCs w:val="21"/>
        </w:rPr>
        <w:t>La coopération comme processus, mais aussi sous l’aspect de formes d’organisation</w:t>
      </w:r>
    </w:p>
    <w:p w:rsidR="005F6FED" w:rsidRPr="00517347" w:rsidRDefault="005F6FED" w:rsidP="005F6FED">
      <w:pPr>
        <w:jc w:val="both"/>
        <w:rPr>
          <w:rFonts w:eastAsia="Times New Roman"/>
          <w:b/>
          <w:i/>
          <w:sz w:val="21"/>
          <w:szCs w:val="21"/>
        </w:rPr>
      </w:pPr>
    </w:p>
    <w:p w:rsidR="005F6FED" w:rsidRPr="00517347" w:rsidRDefault="005F6FED" w:rsidP="005F6FED">
      <w:pPr>
        <w:jc w:val="both"/>
        <w:rPr>
          <w:rFonts w:eastAsia="Times New Roman"/>
          <w:i/>
          <w:color w:val="17365D" w:themeColor="text2" w:themeShade="BF"/>
          <w:sz w:val="21"/>
          <w:szCs w:val="21"/>
        </w:rPr>
      </w:pPr>
      <w:r w:rsidRPr="00517347">
        <w:rPr>
          <w:rFonts w:eastAsia="Times New Roman"/>
          <w:i/>
          <w:color w:val="17365D" w:themeColor="text2" w:themeShade="BF"/>
          <w:sz w:val="21"/>
          <w:szCs w:val="21"/>
        </w:rPr>
        <w:t>La dynamique Freinet</w:t>
      </w:r>
    </w:p>
    <w:p w:rsidR="005F6FED" w:rsidRPr="00517347" w:rsidRDefault="005F6FED" w:rsidP="005F6FED">
      <w:pPr>
        <w:jc w:val="both"/>
        <w:rPr>
          <w:rFonts w:eastAsia="Times New Roman"/>
          <w:sz w:val="21"/>
          <w:szCs w:val="21"/>
        </w:rPr>
      </w:pPr>
      <w:r w:rsidRPr="00517347">
        <w:rPr>
          <w:rFonts w:eastAsia="Times New Roman"/>
          <w:sz w:val="21"/>
          <w:szCs w:val="21"/>
        </w:rPr>
        <w:t>Le mouvement Freinet considère comme central le travail fondé sur l’apprentissage coopératif et le tâtonnement expérimental avec un ensemble de techniques et d’outils : le journal rédigé et imprimé par les enfants, le texte libre, la correspondance scolaire, le plan de travail hebdomadaire, les fichiers autocorrectifs, la classe promenade, les exposés fondés sur des enquêtes, le conseil d’élèves, la coopérative scolaire…</w:t>
      </w:r>
    </w:p>
    <w:p w:rsidR="00295FFE" w:rsidRPr="00517347" w:rsidRDefault="005F6FED" w:rsidP="005F6FED">
      <w:pPr>
        <w:jc w:val="both"/>
        <w:rPr>
          <w:rFonts w:eastAsia="Times New Roman"/>
          <w:sz w:val="21"/>
          <w:szCs w:val="21"/>
        </w:rPr>
      </w:pPr>
      <w:r w:rsidRPr="00517347">
        <w:rPr>
          <w:rFonts w:eastAsia="Times New Roman"/>
          <w:sz w:val="21"/>
          <w:szCs w:val="21"/>
        </w:rPr>
        <w:t xml:space="preserve">Aujourd’hui, les éducateurs (au sein de l’Éducation Nationale ou dans la pédagogie sociale) du Mouvement Freinet utilisent Internet. Cette démarche d’apprentissage à la fois rationnelle et optimiste cherche à dépasser par l’expérience ce que John Dewey appelait les fausses oppositions : entre démocratie et discipline, comportement et savoir, connaissances et réalisations pratiques, activités individuelles et tâches collectives, création artistique et tâtonnement scientifique, jeu et travail, effort et joie. </w:t>
      </w:r>
    </w:p>
    <w:p w:rsidR="005F6FED" w:rsidRPr="00517347" w:rsidRDefault="005F6FED" w:rsidP="005F6FED">
      <w:pPr>
        <w:jc w:val="both"/>
        <w:rPr>
          <w:sz w:val="21"/>
          <w:szCs w:val="21"/>
        </w:rPr>
      </w:pPr>
      <w:r w:rsidRPr="00517347">
        <w:rPr>
          <w:sz w:val="21"/>
          <w:szCs w:val="21"/>
        </w:rPr>
        <w:t xml:space="preserve">Les écoles et les classes Freinet forment une réalité complexe et nuancée, à l’histoire tout aussi mouvementée. Les établissements alternatifs et les classes coopératives qui conjuguent réussite des élèves et satisfaction des acteurs (élèves, familles, enseignants) sont ceux où l’on observe une forte cohésion des équipes éducatives, des projets structurés offrant aux élèves des cadres stables, tout en cultivant créativité, réflexivité, souplesse et rigueur, atouts nécessaires, mais qui demandent une auto-formation coopérative qui peut être qualifiée de professionnalisation. </w:t>
      </w:r>
    </w:p>
    <w:p w:rsidR="005F6FED" w:rsidRPr="00517347" w:rsidRDefault="005F6FED" w:rsidP="005F6FED">
      <w:pPr>
        <w:jc w:val="both"/>
        <w:rPr>
          <w:sz w:val="21"/>
          <w:szCs w:val="21"/>
        </w:rPr>
      </w:pPr>
      <w:r w:rsidRPr="00517347">
        <w:rPr>
          <w:sz w:val="21"/>
          <w:szCs w:val="21"/>
        </w:rPr>
        <w:t xml:space="preserve">De nombreux travaux de recherche attestent de l’intérêt porté à cette dynamique. Sans pouvoir les citer tous (cf. bibliographie), on peut noter les résultats de l’équipe « Théodile </w:t>
      </w:r>
      <w:r w:rsidRPr="00517347">
        <w:rPr>
          <w:rStyle w:val="Appelnotedebasdep"/>
          <w:szCs w:val="16"/>
        </w:rPr>
        <w:footnoteReference w:id="3"/>
      </w:r>
      <w:r w:rsidRPr="00517347">
        <w:rPr>
          <w:sz w:val="21"/>
          <w:szCs w:val="21"/>
        </w:rPr>
        <w:t xml:space="preserve"> » (Reuter), les travaux de Clanché </w:t>
      </w:r>
      <w:r w:rsidRPr="00517347">
        <w:rPr>
          <w:rStyle w:val="Appelnotedebasdep"/>
          <w:szCs w:val="16"/>
        </w:rPr>
        <w:footnoteReference w:id="4"/>
      </w:r>
      <w:r w:rsidRPr="00517347">
        <w:rPr>
          <w:sz w:val="21"/>
          <w:szCs w:val="21"/>
        </w:rPr>
        <w:t xml:space="preserve">, ceux de Lèmery </w:t>
      </w:r>
      <w:r w:rsidRPr="00517347">
        <w:rPr>
          <w:rStyle w:val="Appelnotedebasdep"/>
          <w:szCs w:val="16"/>
        </w:rPr>
        <w:footnoteReference w:id="5"/>
      </w:r>
      <w:r w:rsidRPr="00517347">
        <w:rPr>
          <w:sz w:val="21"/>
          <w:szCs w:val="21"/>
        </w:rPr>
        <w:t xml:space="preserve">, ainsi que l'enquête de Go sur l'école Freinet à Vence </w:t>
      </w:r>
      <w:r w:rsidRPr="00517347">
        <w:rPr>
          <w:rStyle w:val="Appelnotedebasdep"/>
          <w:szCs w:val="16"/>
          <w:lang w:val="en-US"/>
        </w:rPr>
        <w:footnoteReference w:id="6"/>
      </w:r>
      <w:r w:rsidRPr="00517347">
        <w:rPr>
          <w:sz w:val="21"/>
          <w:szCs w:val="21"/>
        </w:rPr>
        <w:t>. </w:t>
      </w:r>
    </w:p>
    <w:p w:rsidR="005F6FED" w:rsidRPr="00517347" w:rsidRDefault="005F6FED" w:rsidP="005F6FED">
      <w:pPr>
        <w:jc w:val="both"/>
        <w:rPr>
          <w:sz w:val="21"/>
          <w:szCs w:val="21"/>
        </w:rPr>
      </w:pPr>
    </w:p>
    <w:p w:rsidR="005F6FED" w:rsidRPr="00517347" w:rsidRDefault="005F6FED" w:rsidP="005F6FED">
      <w:pPr>
        <w:jc w:val="both"/>
        <w:rPr>
          <w:rFonts w:eastAsia="Times New Roman"/>
          <w:i/>
          <w:color w:val="17365D" w:themeColor="text2" w:themeShade="BF"/>
          <w:sz w:val="21"/>
          <w:szCs w:val="21"/>
        </w:rPr>
      </w:pPr>
      <w:r w:rsidRPr="00517347">
        <w:rPr>
          <w:rFonts w:eastAsia="Times New Roman"/>
          <w:i/>
          <w:color w:val="17365D" w:themeColor="text2" w:themeShade="BF"/>
          <w:sz w:val="21"/>
          <w:szCs w:val="21"/>
        </w:rPr>
        <w:t>Des éléments sur la dimension internationale</w:t>
      </w:r>
    </w:p>
    <w:p w:rsidR="005F6FED" w:rsidRPr="00517347" w:rsidRDefault="005F6FED" w:rsidP="005F6FED">
      <w:pPr>
        <w:jc w:val="both"/>
        <w:rPr>
          <w:sz w:val="21"/>
          <w:szCs w:val="21"/>
        </w:rPr>
      </w:pPr>
      <w:r w:rsidRPr="00517347">
        <w:rPr>
          <w:sz w:val="21"/>
          <w:szCs w:val="21"/>
        </w:rPr>
        <w:t xml:space="preserve">Au Portugal, le mouvement de l’École Moderne s’est considérablement développé en accueillant les enseignants en difficulté face à leurs classes, en leur apportant des outils, des techniques, et un accompagnement coopératif dans le processus de formation. </w:t>
      </w:r>
    </w:p>
    <w:p w:rsidR="005F6FED" w:rsidRPr="00517347" w:rsidRDefault="005F6FED" w:rsidP="005F6FED">
      <w:pPr>
        <w:jc w:val="both"/>
        <w:rPr>
          <w:sz w:val="21"/>
          <w:szCs w:val="21"/>
        </w:rPr>
      </w:pPr>
      <w:r w:rsidRPr="00517347">
        <w:rPr>
          <w:sz w:val="21"/>
          <w:szCs w:val="21"/>
        </w:rPr>
        <w:t>En Belgique, la pédagogie Freinet est proposée comme base de projets d’école dans les établissements où l’échec scolaire est massif, augmentant ainsi de manière exponentielle le nombre d’écoles étiquetées Freinet, sans avoir réellement mis en place de véritables moyens de former les personnels.</w:t>
      </w:r>
    </w:p>
    <w:p w:rsidR="005F6FED" w:rsidRPr="00517347" w:rsidRDefault="005F6FED" w:rsidP="005F6FED">
      <w:pPr>
        <w:jc w:val="both"/>
        <w:rPr>
          <w:sz w:val="21"/>
          <w:szCs w:val="21"/>
        </w:rPr>
      </w:pPr>
      <w:r w:rsidRPr="00517347">
        <w:rPr>
          <w:sz w:val="21"/>
          <w:szCs w:val="21"/>
        </w:rPr>
        <w:t xml:space="preserve">En Finlande, le mouvement Freinet a joué un rôle essentiel dans les réformes du système éducatif : les enquêtes internationales d’évaluation l’ont reconnu comme le plus efficace et le plus équitable ; la qualité de la formation des enseignants est un des facteurs  qui explique sa réussite. </w:t>
      </w:r>
    </w:p>
    <w:p w:rsidR="005F6FED" w:rsidRPr="00517347" w:rsidRDefault="005F6FED" w:rsidP="005F6FED">
      <w:pPr>
        <w:jc w:val="both"/>
        <w:rPr>
          <w:rFonts w:eastAsia="Times New Roman"/>
          <w:sz w:val="21"/>
          <w:szCs w:val="21"/>
        </w:rPr>
      </w:pPr>
    </w:p>
    <w:p w:rsidR="005F6FED" w:rsidRPr="00517347" w:rsidRDefault="005F6FED" w:rsidP="005F6FED">
      <w:pPr>
        <w:jc w:val="both"/>
        <w:rPr>
          <w:rFonts w:eastAsia="Times New Roman"/>
          <w:i/>
          <w:color w:val="17365D" w:themeColor="text2" w:themeShade="BF"/>
          <w:sz w:val="21"/>
          <w:szCs w:val="21"/>
        </w:rPr>
      </w:pPr>
      <w:r w:rsidRPr="00517347">
        <w:rPr>
          <w:rFonts w:eastAsia="Times New Roman"/>
          <w:i/>
          <w:color w:val="17365D" w:themeColor="text2" w:themeShade="BF"/>
          <w:sz w:val="21"/>
          <w:szCs w:val="21"/>
        </w:rPr>
        <w:t>Une pédagogie systémique ?</w:t>
      </w:r>
    </w:p>
    <w:p w:rsidR="005F6FED" w:rsidRPr="00517347" w:rsidRDefault="005F6FED" w:rsidP="005F6FED">
      <w:pPr>
        <w:autoSpaceDE w:val="0"/>
        <w:autoSpaceDN w:val="0"/>
        <w:adjustRightInd w:val="0"/>
        <w:jc w:val="both"/>
        <w:rPr>
          <w:sz w:val="21"/>
          <w:szCs w:val="21"/>
        </w:rPr>
      </w:pPr>
      <w:r w:rsidRPr="00517347">
        <w:rPr>
          <w:sz w:val="21"/>
          <w:szCs w:val="21"/>
        </w:rPr>
        <w:t xml:space="preserve">La pédagogie Freinet n’est pas une méthode : cette organisation (cette forme) éducative inventive, de </w:t>
      </w:r>
      <w:r w:rsidR="00544803" w:rsidRPr="00517347">
        <w:rPr>
          <w:sz w:val="21"/>
          <w:szCs w:val="21"/>
        </w:rPr>
        <w:t>“</w:t>
      </w:r>
      <w:r w:rsidRPr="00517347">
        <w:rPr>
          <w:sz w:val="21"/>
          <w:szCs w:val="21"/>
        </w:rPr>
        <w:t>nature</w:t>
      </w:r>
      <w:r w:rsidR="00544803" w:rsidRPr="00517347">
        <w:rPr>
          <w:sz w:val="21"/>
          <w:szCs w:val="21"/>
        </w:rPr>
        <w:t>“ (ou plutôt de “logique“, ou mieux de dynamique)</w:t>
      </w:r>
      <w:r w:rsidRPr="00517347">
        <w:rPr>
          <w:sz w:val="21"/>
          <w:szCs w:val="21"/>
        </w:rPr>
        <w:t xml:space="preserve"> systémique (Go, Lemery)</w:t>
      </w:r>
      <w:r w:rsidRPr="00517347">
        <w:rPr>
          <w:rStyle w:val="Appelnotedebasdep"/>
          <w:szCs w:val="16"/>
        </w:rPr>
        <w:footnoteReference w:id="7"/>
      </w:r>
      <w:r w:rsidRPr="00517347">
        <w:rPr>
          <w:sz w:val="21"/>
          <w:szCs w:val="21"/>
        </w:rPr>
        <w:t>, a été pensée par Célestin Freinet comme un levier de transformation du système éducatif depuis l’intérieur </w:t>
      </w:r>
      <w:r w:rsidR="005B0C13" w:rsidRPr="00517347">
        <w:rPr>
          <w:sz w:val="21"/>
          <w:szCs w:val="21"/>
        </w:rPr>
        <w:t xml:space="preserve">(peut-on la caractériser en tant que praxis ?) </w:t>
      </w:r>
      <w:r w:rsidRPr="00517347">
        <w:rPr>
          <w:sz w:val="21"/>
          <w:szCs w:val="21"/>
        </w:rPr>
        <w:t>: quel rôle peut-elle être amenée à jouer dans l’hexagone ? En Europe ? Quel est l’effet du contexte institutionnel et culturel sur ses formes possibles ? Les exemples issus de différents contextes, de différents pays, peuvent-ils nous aider à prendre conscience d’obstacles pour prendre du recul afin de les contourner ou de les dépasser ?</w:t>
      </w:r>
    </w:p>
    <w:p w:rsidR="00295FFE" w:rsidRPr="00517347" w:rsidRDefault="00295FFE" w:rsidP="005F6FED">
      <w:pPr>
        <w:autoSpaceDE w:val="0"/>
        <w:autoSpaceDN w:val="0"/>
        <w:adjustRightInd w:val="0"/>
        <w:jc w:val="both"/>
        <w:rPr>
          <w:sz w:val="21"/>
          <w:szCs w:val="21"/>
        </w:rPr>
      </w:pPr>
    </w:p>
    <w:p w:rsidR="00544803" w:rsidRPr="00517347" w:rsidRDefault="00544803" w:rsidP="005F6FED">
      <w:pPr>
        <w:jc w:val="both"/>
        <w:rPr>
          <w:rFonts w:eastAsia="Times New Roman"/>
          <w:i/>
          <w:color w:val="17365D" w:themeColor="text2" w:themeShade="BF"/>
          <w:sz w:val="21"/>
          <w:szCs w:val="21"/>
        </w:rPr>
      </w:pPr>
      <w:r w:rsidRPr="00517347">
        <w:rPr>
          <w:rFonts w:eastAsia="Times New Roman"/>
          <w:i/>
          <w:color w:val="17365D" w:themeColor="text2" w:themeShade="BF"/>
          <w:sz w:val="21"/>
          <w:szCs w:val="21"/>
        </w:rPr>
        <w:t>Une pédagogie institutionnelle ?</w:t>
      </w:r>
    </w:p>
    <w:p w:rsidR="00544803" w:rsidRPr="00517347" w:rsidRDefault="00544803" w:rsidP="005F6FED">
      <w:pPr>
        <w:jc w:val="both"/>
        <w:rPr>
          <w:rFonts w:eastAsia="Times New Roman"/>
          <w:sz w:val="21"/>
          <w:szCs w:val="21"/>
        </w:rPr>
      </w:pPr>
      <w:r w:rsidRPr="00517347">
        <w:rPr>
          <w:rFonts w:eastAsia="Times New Roman"/>
          <w:sz w:val="21"/>
          <w:szCs w:val="21"/>
        </w:rPr>
        <w:t>Si toute pédagogie Freinet ne se qualifie pas d'institutionnelle, la pédagogie institutionnelle</w:t>
      </w:r>
      <w:r w:rsidRPr="00517347">
        <w:rPr>
          <w:rStyle w:val="Appelnotedebasdep"/>
          <w:rFonts w:eastAsia="Times New Roman"/>
          <w:szCs w:val="16"/>
        </w:rPr>
        <w:footnoteReference w:id="8"/>
      </w:r>
      <w:r w:rsidRPr="00517347">
        <w:rPr>
          <w:rFonts w:eastAsia="Times New Roman"/>
          <w:sz w:val="21"/>
          <w:szCs w:val="21"/>
        </w:rPr>
        <w:t xml:space="preserve">, là où elle se pratique de façon déclarée, se met en place sur le substrat de la pédagogie Freinet. Ce qui permet de poser </w:t>
      </w:r>
      <w:r w:rsidRPr="00517347">
        <w:rPr>
          <w:rFonts w:eastAsia="Times New Roman"/>
          <w:sz w:val="21"/>
          <w:szCs w:val="21"/>
        </w:rPr>
        <w:lastRenderedPageBreak/>
        <w:t>la question d'une présence, dans toute organisation Freinet, d'une pédagogie institutionnelle simple, ou élémentaire — d'une pédagogie qui repose sur l'hypothèse que les dispositifs mis en place avec la participation, l'action des élèves, ont un caractère instituant, ou si l'on préfère relèvent d'une praxis. L'hypothèse précédente mérite à tout le moins réflexion et discussion (mise en travail).</w:t>
      </w:r>
    </w:p>
    <w:p w:rsidR="00544803" w:rsidRPr="00517347" w:rsidRDefault="00544803" w:rsidP="005F6FED">
      <w:pPr>
        <w:jc w:val="both"/>
        <w:rPr>
          <w:rFonts w:eastAsia="Times New Roman"/>
          <w:sz w:val="21"/>
          <w:szCs w:val="21"/>
        </w:rPr>
      </w:pPr>
    </w:p>
    <w:p w:rsidR="005F6FED" w:rsidRPr="00517347" w:rsidRDefault="005F6FED" w:rsidP="005F6FED">
      <w:pPr>
        <w:jc w:val="both"/>
        <w:rPr>
          <w:rFonts w:eastAsia="Times New Roman"/>
          <w:i/>
          <w:color w:val="17365D" w:themeColor="text2" w:themeShade="BF"/>
          <w:sz w:val="21"/>
          <w:szCs w:val="21"/>
        </w:rPr>
      </w:pPr>
      <w:r w:rsidRPr="00517347">
        <w:rPr>
          <w:rFonts w:eastAsia="Times New Roman"/>
          <w:i/>
          <w:color w:val="17365D" w:themeColor="text2" w:themeShade="BF"/>
          <w:sz w:val="21"/>
          <w:szCs w:val="21"/>
        </w:rPr>
        <w:t>Une contradiction (française)</w:t>
      </w:r>
    </w:p>
    <w:p w:rsidR="005F6FED" w:rsidRPr="00517347" w:rsidRDefault="005F6FED" w:rsidP="005F6FED">
      <w:pPr>
        <w:jc w:val="both"/>
        <w:rPr>
          <w:rFonts w:eastAsia="Times New Roman"/>
          <w:sz w:val="21"/>
          <w:szCs w:val="21"/>
        </w:rPr>
      </w:pPr>
      <w:r w:rsidRPr="00517347">
        <w:rPr>
          <w:rFonts w:eastAsia="Times New Roman"/>
          <w:sz w:val="21"/>
          <w:szCs w:val="21"/>
        </w:rPr>
        <w:t xml:space="preserve">On peut toutefois repérer </w:t>
      </w:r>
      <w:r w:rsidRPr="00517347">
        <w:rPr>
          <w:sz w:val="21"/>
          <w:szCs w:val="21"/>
        </w:rPr>
        <w:t>une contradiction fondamentale : la pédagogie Freinet est érigée souvent en modèle dans les travaux de recherche et les textes de référence comme pratique de réussite scolaire et d’innovation. Pourtant, elle ne représente qu’une part infime des pratiques concernant le monde enseignant — même si, e</w:t>
      </w:r>
      <w:r w:rsidRPr="00517347">
        <w:rPr>
          <w:rFonts w:eastAsia="Times New Roman"/>
          <w:sz w:val="21"/>
          <w:szCs w:val="21"/>
        </w:rPr>
        <w:t>n France, cette pédagogie coopérative est officiellement reconnue et intégrée dans de nombreux établissements et écoles, où les enseignants respectent les programmes nationaux et sont régulièrement  inspectés. Ce constat “d’expérimentation minoritaire“ peut être élargi à l’ensemble des mouvements et expériences se réclamant de l’Éducation Nouvelle.</w:t>
      </w:r>
    </w:p>
    <w:p w:rsidR="005F6FED" w:rsidRPr="00517347" w:rsidRDefault="005F6FED" w:rsidP="005F6FED">
      <w:pPr>
        <w:autoSpaceDE w:val="0"/>
        <w:autoSpaceDN w:val="0"/>
        <w:adjustRightInd w:val="0"/>
        <w:jc w:val="both"/>
        <w:rPr>
          <w:sz w:val="21"/>
          <w:szCs w:val="21"/>
        </w:rPr>
      </w:pPr>
      <w:r w:rsidRPr="00517347">
        <w:rPr>
          <w:sz w:val="21"/>
          <w:szCs w:val="21"/>
        </w:rPr>
        <w:t xml:space="preserve">Est-ce à dire que ces pratiques ne peuvent être généralisées autrement que par le biais d’un statut expérimental — encadré et marginalisé ? Pourquoi un tel décalage entre constat théorique et applications pratiques ? </w:t>
      </w:r>
    </w:p>
    <w:p w:rsidR="005F6FED" w:rsidRPr="00517347" w:rsidRDefault="005F6FED" w:rsidP="005F6FED">
      <w:pPr>
        <w:jc w:val="both"/>
        <w:rPr>
          <w:sz w:val="21"/>
          <w:szCs w:val="21"/>
        </w:rPr>
      </w:pPr>
      <w:r w:rsidRPr="00517347">
        <w:rPr>
          <w:sz w:val="21"/>
          <w:szCs w:val="21"/>
        </w:rPr>
        <w:t>Ce qui réussit dans certains établissements est-il transférable ou généralisable ? Si oui dans quelle mesure ? Quels sont les points d’appui ? Les limites ? Un début de réponse est que la récupération (de techniques, d’outils, de situations) par la technostructure de l’EN puis la tentative de leur généralisation par décret est vouée à l’échec. Seules des équipes formées et volontaires peuvent se saisir de techniques, d’outils, de situations liés à une conception de l’éducation. Mais cela ne clôt pas le questionnement.</w:t>
      </w:r>
    </w:p>
    <w:p w:rsidR="005F6FED" w:rsidRPr="00517347" w:rsidRDefault="005F6FED" w:rsidP="005F6FED">
      <w:pPr>
        <w:jc w:val="both"/>
        <w:rPr>
          <w:sz w:val="21"/>
          <w:szCs w:val="21"/>
        </w:rPr>
      </w:pPr>
      <w:r w:rsidRPr="00517347">
        <w:rPr>
          <w:sz w:val="21"/>
          <w:szCs w:val="21"/>
        </w:rPr>
        <w:t>En conséquence, quels éléments, quelles situations de formation concevoir et proposer, à des équipes, mais aussi à des enseignants, pour les former à des pédagogies actives et coopératives — comment former à la coopération ? En formation initiale ? En formation continue ?</w:t>
      </w:r>
    </w:p>
    <w:p w:rsidR="005F6FED" w:rsidRPr="00517347" w:rsidRDefault="005F6FED" w:rsidP="005F6FED">
      <w:pPr>
        <w:jc w:val="both"/>
        <w:rPr>
          <w:sz w:val="21"/>
          <w:szCs w:val="21"/>
        </w:rPr>
      </w:pPr>
    </w:p>
    <w:p w:rsidR="005F6FED" w:rsidRPr="00517347" w:rsidRDefault="005F6FED" w:rsidP="005F6FED">
      <w:pPr>
        <w:jc w:val="both"/>
        <w:rPr>
          <w:i/>
          <w:color w:val="17365D" w:themeColor="text2" w:themeShade="BF"/>
          <w:sz w:val="21"/>
          <w:szCs w:val="21"/>
        </w:rPr>
      </w:pPr>
      <w:r w:rsidRPr="00517347">
        <w:rPr>
          <w:i/>
          <w:color w:val="17365D" w:themeColor="text2" w:themeShade="BF"/>
          <w:sz w:val="21"/>
          <w:szCs w:val="21"/>
        </w:rPr>
        <w:t>Un contexte ravageur</w:t>
      </w:r>
    </w:p>
    <w:p w:rsidR="005F6FED" w:rsidRPr="00517347" w:rsidRDefault="005F6FED" w:rsidP="005F6FED">
      <w:pPr>
        <w:jc w:val="both"/>
        <w:rPr>
          <w:sz w:val="21"/>
          <w:szCs w:val="21"/>
        </w:rPr>
      </w:pPr>
      <w:r w:rsidRPr="00517347">
        <w:rPr>
          <w:sz w:val="21"/>
          <w:szCs w:val="21"/>
        </w:rPr>
        <w:t xml:space="preserve">Dans un contexte récurrent dominé par les phénomènes de marchandisation, d'individualisme et de méritocratie, où la compétition scolaire et la course aux diplômes font rage, où une demande sociale et politique se manifeste en faveur du retour à une certaine discipline, où se pérennise une évaluation profondément normative, </w:t>
      </w:r>
      <w:r w:rsidRPr="00517347">
        <w:rPr>
          <w:b/>
          <w:color w:val="17365D" w:themeColor="text2" w:themeShade="BF"/>
          <w:sz w:val="21"/>
          <w:szCs w:val="21"/>
        </w:rPr>
        <w:t>les pédagogies actives et coopératives</w:t>
      </w:r>
      <w:r w:rsidRPr="00517347">
        <w:rPr>
          <w:sz w:val="21"/>
          <w:szCs w:val="21"/>
        </w:rPr>
        <w:t>, issues des principes de l’Éducation Nouvelle, offrent des alternatives fondées sur une éducation émancipatrice, reposant sur des valeurs humanistes et démocratiques. A une idéologie de l’individualisation des problèmes (de l’échec ou de la réussite, de la construction solipsiste du sujet apprenant, de la solitude de l’enseignant…), elles opposent le travail d’équipe (tant pour les élèves que pour leurs enseignants), la possibilité d’énonciation et d’écoute d’une parole au sein d’un groupe.</w:t>
      </w:r>
    </w:p>
    <w:p w:rsidR="005F6FED" w:rsidRPr="00517347" w:rsidRDefault="005F6FED" w:rsidP="005F6FED">
      <w:pPr>
        <w:jc w:val="both"/>
        <w:rPr>
          <w:sz w:val="21"/>
          <w:szCs w:val="21"/>
        </w:rPr>
      </w:pPr>
      <w:r w:rsidRPr="00517347">
        <w:rPr>
          <w:sz w:val="21"/>
          <w:szCs w:val="21"/>
        </w:rPr>
        <w:t>Seule réponse pertinente aux contradictions des systèmes éducatifs modernes (cf. Blais, Gauchet, Ottavi), la mise en place de pédagogies actives et coopératives apporte des outils pour relever les défis du XXI</w:t>
      </w:r>
      <w:r w:rsidRPr="00517347">
        <w:rPr>
          <w:sz w:val="21"/>
          <w:szCs w:val="21"/>
          <w:vertAlign w:val="superscript"/>
        </w:rPr>
        <w:t>e</w:t>
      </w:r>
      <w:r w:rsidRPr="00517347">
        <w:rPr>
          <w:sz w:val="21"/>
          <w:szCs w:val="21"/>
        </w:rPr>
        <w:t xml:space="preserve"> siècle. </w:t>
      </w:r>
    </w:p>
    <w:p w:rsidR="005F6FED" w:rsidRPr="00517347" w:rsidRDefault="005F6FED" w:rsidP="005F6FED">
      <w:pPr>
        <w:jc w:val="both"/>
        <w:rPr>
          <w:sz w:val="21"/>
          <w:szCs w:val="21"/>
        </w:rPr>
      </w:pPr>
      <w:r w:rsidRPr="00517347">
        <w:rPr>
          <w:sz w:val="21"/>
          <w:szCs w:val="21"/>
        </w:rPr>
        <w:t xml:space="preserve">Mais elle nécessite un processus de formation de qualité, et sur la durée, appelant une réflexion essentielle pour l’avenir. Une telle réflexion commence par une série de questions. À celles des alinéas précédents, on peut ajouter : </w:t>
      </w:r>
    </w:p>
    <w:p w:rsidR="005F6FED" w:rsidRPr="00517347" w:rsidRDefault="005F6FED" w:rsidP="00295FFE">
      <w:pPr>
        <w:autoSpaceDE w:val="0"/>
        <w:autoSpaceDN w:val="0"/>
        <w:adjustRightInd w:val="0"/>
        <w:ind w:left="284" w:hanging="142"/>
        <w:jc w:val="both"/>
        <w:rPr>
          <w:sz w:val="21"/>
          <w:szCs w:val="21"/>
        </w:rPr>
      </w:pPr>
      <w:r w:rsidRPr="00517347">
        <w:rPr>
          <w:sz w:val="21"/>
          <w:szCs w:val="21"/>
        </w:rPr>
        <w:t>- Comment répondre à un souci légitime d’évaluation sans passer par un contrôle normatif et culpabilisant, étouffant toute créativité et toute possibilité d’innovation ? Peut-on penser des  formes d’évaluation cohérentes avec un humanisme démocratique</w:t>
      </w:r>
      <w:r w:rsidR="00E62652" w:rsidRPr="00517347">
        <w:rPr>
          <w:sz w:val="21"/>
          <w:szCs w:val="21"/>
        </w:rPr>
        <w:t>,</w:t>
      </w:r>
      <w:r w:rsidRPr="00517347">
        <w:rPr>
          <w:sz w:val="21"/>
          <w:szCs w:val="21"/>
        </w:rPr>
        <w:t xml:space="preserve"> coopératif et scientifique, auprès des enfants, des étudiants, des enseignants, des éducateurs, des expériences innovantes, des établissements ? </w:t>
      </w:r>
    </w:p>
    <w:p w:rsidR="005F6FED" w:rsidRPr="00517347" w:rsidRDefault="005F6FED" w:rsidP="00295FFE">
      <w:pPr>
        <w:ind w:left="284" w:hanging="142"/>
        <w:jc w:val="both"/>
        <w:rPr>
          <w:sz w:val="21"/>
          <w:szCs w:val="21"/>
        </w:rPr>
      </w:pPr>
      <w:r w:rsidRPr="00517347">
        <w:rPr>
          <w:sz w:val="21"/>
          <w:szCs w:val="21"/>
        </w:rPr>
        <w:t>- Comment articuler souplesse et rigueur ? Comment assurer les connaissances de base tout en faisant face à la diversité, à l’imprévu, à l’incertitude, au progrès ? Comment conjuguer l’enracinement, l’un, le singulier, et le multiple, l’universel, la diversité ?</w:t>
      </w:r>
    </w:p>
    <w:p w:rsidR="005F6FED" w:rsidRPr="00517347" w:rsidRDefault="005F6FED" w:rsidP="00295FFE">
      <w:pPr>
        <w:ind w:left="284" w:hanging="142"/>
        <w:jc w:val="both"/>
        <w:rPr>
          <w:sz w:val="21"/>
          <w:szCs w:val="21"/>
        </w:rPr>
      </w:pPr>
      <w:r w:rsidRPr="00517347">
        <w:rPr>
          <w:sz w:val="21"/>
          <w:szCs w:val="21"/>
          <w:lang w:eastAsia="ja-JP"/>
        </w:rPr>
        <w:t xml:space="preserve">- Si les diverses modélisations théoriques des processus d’apprentissage confirment l’importance de l’action, du geste, de l’activité concrète </w:t>
      </w:r>
      <w:r w:rsidRPr="00517347">
        <w:rPr>
          <w:sz w:val="21"/>
          <w:szCs w:val="21"/>
        </w:rPr>
        <w:t xml:space="preserve">pour aller vers l’abstraction, peut-on être sûr que le tâtonnement expérimental constitue </w:t>
      </w:r>
      <w:r w:rsidRPr="00517347">
        <w:rPr>
          <w:sz w:val="21"/>
          <w:szCs w:val="21"/>
          <w:u w:val="single"/>
        </w:rPr>
        <w:t>la</w:t>
      </w:r>
      <w:r w:rsidRPr="00517347">
        <w:rPr>
          <w:sz w:val="21"/>
          <w:szCs w:val="21"/>
        </w:rPr>
        <w:t xml:space="preserve"> réponse à la crise actuelle de l’enseignement scientifique ? </w:t>
      </w:r>
    </w:p>
    <w:p w:rsidR="005F6FED" w:rsidRPr="00517347" w:rsidRDefault="005F6FED" w:rsidP="005F6FED">
      <w:pPr>
        <w:jc w:val="both"/>
        <w:rPr>
          <w:sz w:val="21"/>
          <w:szCs w:val="21"/>
        </w:rPr>
      </w:pPr>
    </w:p>
    <w:p w:rsidR="005F6FED" w:rsidRPr="00517347" w:rsidRDefault="005F6FED" w:rsidP="005F6FED">
      <w:pPr>
        <w:jc w:val="both"/>
        <w:rPr>
          <w:i/>
          <w:color w:val="17365D" w:themeColor="text2" w:themeShade="BF"/>
          <w:sz w:val="21"/>
          <w:szCs w:val="21"/>
        </w:rPr>
      </w:pPr>
      <w:r w:rsidRPr="00517347">
        <w:rPr>
          <w:i/>
          <w:color w:val="17365D" w:themeColor="text2" w:themeShade="BF"/>
          <w:sz w:val="21"/>
          <w:szCs w:val="21"/>
        </w:rPr>
        <w:t>Projet de formes d’organisation</w:t>
      </w:r>
    </w:p>
    <w:p w:rsidR="005F6FED" w:rsidRPr="00517347" w:rsidRDefault="005F6FED" w:rsidP="005F6FED">
      <w:pPr>
        <w:autoSpaceDE w:val="0"/>
        <w:autoSpaceDN w:val="0"/>
        <w:adjustRightInd w:val="0"/>
        <w:jc w:val="both"/>
        <w:rPr>
          <w:sz w:val="21"/>
          <w:szCs w:val="21"/>
        </w:rPr>
      </w:pPr>
      <w:r w:rsidRPr="00517347">
        <w:rPr>
          <w:sz w:val="21"/>
          <w:szCs w:val="21"/>
        </w:rPr>
        <w:t xml:space="preserve">Ce </w:t>
      </w:r>
      <w:r w:rsidR="00580F96" w:rsidRPr="00517347">
        <w:rPr>
          <w:sz w:val="21"/>
          <w:szCs w:val="21"/>
        </w:rPr>
        <w:t xml:space="preserve">colloque </w:t>
      </w:r>
      <w:r w:rsidRPr="00517347">
        <w:rPr>
          <w:sz w:val="21"/>
          <w:szCs w:val="21"/>
        </w:rPr>
        <w:t>international, ouvert aux praticiens, aux chercheurs, aux Instituts de différents pays européens limitrophes</w:t>
      </w:r>
      <w:r w:rsidR="00641FDC" w:rsidRPr="00517347">
        <w:rPr>
          <w:sz w:val="21"/>
          <w:szCs w:val="21"/>
        </w:rPr>
        <w:t xml:space="preserve"> et d'ailleurs</w:t>
      </w:r>
      <w:r w:rsidRPr="00517347">
        <w:rPr>
          <w:sz w:val="21"/>
          <w:szCs w:val="21"/>
        </w:rPr>
        <w:t>, se veut :</w:t>
      </w:r>
    </w:p>
    <w:p w:rsidR="005F6FED" w:rsidRPr="00517347" w:rsidRDefault="005F6FED" w:rsidP="005F6FED">
      <w:pPr>
        <w:pStyle w:val="Paragraphedeliste"/>
        <w:numPr>
          <w:ilvl w:val="0"/>
          <w:numId w:val="1"/>
        </w:numPr>
        <w:autoSpaceDE w:val="0"/>
        <w:autoSpaceDN w:val="0"/>
        <w:adjustRightInd w:val="0"/>
        <w:jc w:val="both"/>
        <w:rPr>
          <w:sz w:val="21"/>
          <w:szCs w:val="21"/>
        </w:rPr>
      </w:pPr>
      <w:r w:rsidRPr="00517347">
        <w:rPr>
          <w:sz w:val="21"/>
          <w:szCs w:val="21"/>
        </w:rPr>
        <w:t>temps et lieu d’échange et de réflexion,</w:t>
      </w:r>
    </w:p>
    <w:p w:rsidR="005F6FED" w:rsidRPr="00517347" w:rsidRDefault="005F6FED" w:rsidP="005F6FED">
      <w:pPr>
        <w:pStyle w:val="Paragraphedeliste"/>
        <w:numPr>
          <w:ilvl w:val="0"/>
          <w:numId w:val="1"/>
        </w:numPr>
        <w:autoSpaceDE w:val="0"/>
        <w:autoSpaceDN w:val="0"/>
        <w:adjustRightInd w:val="0"/>
        <w:jc w:val="both"/>
        <w:rPr>
          <w:sz w:val="21"/>
          <w:szCs w:val="21"/>
        </w:rPr>
      </w:pPr>
      <w:r w:rsidRPr="00517347">
        <w:rPr>
          <w:sz w:val="21"/>
          <w:szCs w:val="21"/>
        </w:rPr>
        <w:t>point d’ancrage de l’innovation,</w:t>
      </w:r>
    </w:p>
    <w:p w:rsidR="005F6FED" w:rsidRPr="00517347" w:rsidRDefault="00580F96" w:rsidP="005F6FED">
      <w:pPr>
        <w:pStyle w:val="Paragraphedeliste"/>
        <w:numPr>
          <w:ilvl w:val="0"/>
          <w:numId w:val="1"/>
        </w:numPr>
        <w:autoSpaceDE w:val="0"/>
        <w:autoSpaceDN w:val="0"/>
        <w:adjustRightInd w:val="0"/>
        <w:jc w:val="both"/>
        <w:rPr>
          <w:sz w:val="21"/>
          <w:szCs w:val="21"/>
        </w:rPr>
      </w:pPr>
      <w:r w:rsidRPr="00517347">
        <w:rPr>
          <w:sz w:val="21"/>
          <w:szCs w:val="21"/>
        </w:rPr>
        <w:t>bilan d’étape sur une refondation véritable de l’École</w:t>
      </w:r>
      <w:r w:rsidR="005F6FED" w:rsidRPr="00517347">
        <w:rPr>
          <w:sz w:val="21"/>
          <w:szCs w:val="21"/>
        </w:rPr>
        <w:t>…</w:t>
      </w:r>
    </w:p>
    <w:p w:rsidR="005F6FED" w:rsidRPr="00517347" w:rsidRDefault="005F6FED" w:rsidP="005F6FED">
      <w:pPr>
        <w:pStyle w:val="Paragraphedeliste"/>
        <w:autoSpaceDE w:val="0"/>
        <w:autoSpaceDN w:val="0"/>
        <w:adjustRightInd w:val="0"/>
        <w:jc w:val="both"/>
        <w:rPr>
          <w:sz w:val="21"/>
          <w:szCs w:val="21"/>
        </w:rPr>
      </w:pPr>
    </w:p>
    <w:p w:rsidR="005F6FED" w:rsidRPr="00517347" w:rsidRDefault="005F6FED" w:rsidP="005F6FED">
      <w:pPr>
        <w:autoSpaceDE w:val="0"/>
        <w:autoSpaceDN w:val="0"/>
        <w:adjustRightInd w:val="0"/>
        <w:jc w:val="both"/>
        <w:rPr>
          <w:sz w:val="21"/>
          <w:szCs w:val="21"/>
        </w:rPr>
      </w:pPr>
      <w:r w:rsidRPr="00517347">
        <w:rPr>
          <w:sz w:val="21"/>
          <w:szCs w:val="21"/>
        </w:rPr>
        <w:t>En prenant des exemples sur les pratiques actuelles du Mouvement Freinet, sur des évaluations les plus récentes de ces pratiques, sur d’autres pratiques d’enseignement, d’éducation, de formation, les différentes interventions chercheront à exposer et à repérer ce qui caractérise ces pratiques, notamment sous l’aspect des formes d’organisation, des formes de coopération qu’elles impulsent et/ou s</w:t>
      </w:r>
      <w:r w:rsidR="00105AE6" w:rsidRPr="00517347">
        <w:rPr>
          <w:sz w:val="21"/>
          <w:szCs w:val="21"/>
        </w:rPr>
        <w:t>ur lesquelles elles s’appuient.</w:t>
      </w:r>
      <w:r w:rsidR="00D5367E" w:rsidRPr="00517347">
        <w:rPr>
          <w:sz w:val="21"/>
          <w:szCs w:val="21"/>
        </w:rPr>
        <w:t xml:space="preserve"> Elles montreront l’actualité </w:t>
      </w:r>
      <w:r w:rsidR="00D01591" w:rsidRPr="00517347">
        <w:rPr>
          <w:sz w:val="21"/>
          <w:szCs w:val="21"/>
        </w:rPr>
        <w:t xml:space="preserve">(de la pratique et </w:t>
      </w:r>
      <w:r w:rsidR="00D5367E" w:rsidRPr="00517347">
        <w:rPr>
          <w:sz w:val="21"/>
          <w:szCs w:val="21"/>
        </w:rPr>
        <w:t xml:space="preserve">de </w:t>
      </w:r>
      <w:r w:rsidR="007622B0" w:rsidRPr="00517347">
        <w:rPr>
          <w:sz w:val="21"/>
          <w:szCs w:val="21"/>
        </w:rPr>
        <w:t>la réflexion</w:t>
      </w:r>
      <w:r w:rsidR="00D01591" w:rsidRPr="00517347">
        <w:rPr>
          <w:sz w:val="21"/>
          <w:szCs w:val="21"/>
        </w:rPr>
        <w:t>)</w:t>
      </w:r>
      <w:r w:rsidR="007622B0" w:rsidRPr="00517347">
        <w:rPr>
          <w:sz w:val="21"/>
          <w:szCs w:val="21"/>
        </w:rPr>
        <w:t xml:space="preserve"> de </w:t>
      </w:r>
      <w:r w:rsidR="00D5367E" w:rsidRPr="00517347">
        <w:rPr>
          <w:sz w:val="21"/>
          <w:szCs w:val="21"/>
        </w:rPr>
        <w:t xml:space="preserve">cette pédagogie </w:t>
      </w:r>
      <w:r w:rsidR="00D01591" w:rsidRPr="00517347">
        <w:rPr>
          <w:sz w:val="21"/>
          <w:szCs w:val="21"/>
        </w:rPr>
        <w:t xml:space="preserve">en mouvement, </w:t>
      </w:r>
      <w:r w:rsidR="00D5367E" w:rsidRPr="00517347">
        <w:rPr>
          <w:sz w:val="21"/>
          <w:szCs w:val="21"/>
        </w:rPr>
        <w:t xml:space="preserve">dans le contexte social et technologique contemporain, marqué par </w:t>
      </w:r>
      <w:r w:rsidR="007622B0" w:rsidRPr="00517347">
        <w:rPr>
          <w:sz w:val="21"/>
          <w:szCs w:val="21"/>
        </w:rPr>
        <w:t>les inégalités face à la capacité de construire des savoirs à partir de l’information disponible.</w:t>
      </w:r>
    </w:p>
    <w:p w:rsidR="00641FDC" w:rsidRPr="00517347" w:rsidRDefault="005F6FED" w:rsidP="0060786C">
      <w:pPr>
        <w:autoSpaceDE w:val="0"/>
        <w:autoSpaceDN w:val="0"/>
        <w:adjustRightInd w:val="0"/>
        <w:jc w:val="both"/>
        <w:rPr>
          <w:sz w:val="21"/>
          <w:szCs w:val="21"/>
        </w:rPr>
      </w:pPr>
      <w:r w:rsidRPr="00517347">
        <w:rPr>
          <w:sz w:val="21"/>
          <w:szCs w:val="21"/>
        </w:rPr>
        <w:t>Des praticiens, des chercheurs et des formateurs venus de Belgique, de France, d’Allemagne</w:t>
      </w:r>
      <w:r w:rsidR="00641FDC" w:rsidRPr="00517347">
        <w:rPr>
          <w:sz w:val="21"/>
          <w:szCs w:val="21"/>
        </w:rPr>
        <w:t>, de Chine</w:t>
      </w:r>
      <w:r w:rsidR="00730D5C" w:rsidRPr="00517347">
        <w:rPr>
          <w:sz w:val="21"/>
          <w:szCs w:val="21"/>
        </w:rPr>
        <w:t xml:space="preserve">(…) </w:t>
      </w:r>
      <w:r w:rsidRPr="00517347">
        <w:rPr>
          <w:sz w:val="21"/>
          <w:szCs w:val="21"/>
        </w:rPr>
        <w:t>interrogeront l’actualité et l’efficacité de cette philosophie pragmatique qui sous-tend l’idée de coopération et son application à l’éducation — fondée sur la curiosité et l’envie d’agir, cette application met en exergue les capacités naturelles des enfants, apprend à délibérer, à observer le réel, à problématiser, à émettre et mettre à l’épreuve des hypothèses, à apprendre et à créer ensemble dans un espace coopératif et démocratique et ce à tous les niveaux de l’enseignement, de la Maternelle à l’Université.</w:t>
      </w:r>
    </w:p>
    <w:p w:rsidR="004F5B78" w:rsidRPr="00517347" w:rsidRDefault="004F5B78" w:rsidP="005F6FED">
      <w:pPr>
        <w:jc w:val="both"/>
        <w:rPr>
          <w:sz w:val="21"/>
          <w:szCs w:val="21"/>
          <w:lang w:eastAsia="ja-JP"/>
        </w:rPr>
      </w:pPr>
    </w:p>
    <w:p w:rsidR="005F6FED" w:rsidRPr="00517347" w:rsidRDefault="00D01591" w:rsidP="005F6FED">
      <w:pPr>
        <w:jc w:val="both"/>
        <w:rPr>
          <w:sz w:val="21"/>
          <w:szCs w:val="21"/>
          <w:lang w:eastAsia="ja-JP"/>
        </w:rPr>
      </w:pPr>
      <w:r w:rsidRPr="00517347">
        <w:rPr>
          <w:sz w:val="21"/>
          <w:szCs w:val="21"/>
          <w:lang w:eastAsia="ja-JP"/>
        </w:rPr>
        <w:t xml:space="preserve">Le colloque sera structuré par </w:t>
      </w:r>
      <w:r w:rsidR="005F6FED" w:rsidRPr="00517347">
        <w:rPr>
          <w:sz w:val="21"/>
          <w:szCs w:val="21"/>
          <w:lang w:eastAsia="ja-JP"/>
        </w:rPr>
        <w:t xml:space="preserve">: </w:t>
      </w:r>
    </w:p>
    <w:p w:rsidR="00AE24F8" w:rsidRPr="00517347" w:rsidRDefault="0064269D" w:rsidP="00AE24F8">
      <w:pPr>
        <w:pStyle w:val="Paragraphedeliste"/>
        <w:numPr>
          <w:ilvl w:val="0"/>
          <w:numId w:val="1"/>
        </w:numPr>
        <w:jc w:val="both"/>
        <w:rPr>
          <w:sz w:val="21"/>
          <w:szCs w:val="21"/>
          <w:lang w:eastAsia="ja-JP"/>
        </w:rPr>
      </w:pPr>
      <w:r w:rsidRPr="00517347">
        <w:rPr>
          <w:sz w:val="21"/>
          <w:szCs w:val="21"/>
          <w:lang w:eastAsia="ja-JP"/>
        </w:rPr>
        <w:t>une plénière d’entrée (</w:t>
      </w:r>
      <w:r w:rsidR="00AE24F8" w:rsidRPr="00517347">
        <w:rPr>
          <w:sz w:val="21"/>
          <w:szCs w:val="21"/>
          <w:lang w:eastAsia="ja-JP"/>
        </w:rPr>
        <w:t xml:space="preserve">brèves allocutions, </w:t>
      </w:r>
      <w:r w:rsidRPr="00517347">
        <w:rPr>
          <w:sz w:val="21"/>
          <w:szCs w:val="21"/>
          <w:lang w:eastAsia="ja-JP"/>
        </w:rPr>
        <w:t>présentation</w:t>
      </w:r>
      <w:r w:rsidR="00E7329C" w:rsidRPr="00517347">
        <w:rPr>
          <w:sz w:val="21"/>
          <w:szCs w:val="21"/>
          <w:lang w:eastAsia="ja-JP"/>
        </w:rPr>
        <w:t>, une conférence (45mn</w:t>
      </w:r>
      <w:r w:rsidR="00AE24F8" w:rsidRPr="00517347">
        <w:rPr>
          <w:sz w:val="21"/>
          <w:szCs w:val="21"/>
          <w:lang w:eastAsia="ja-JP"/>
        </w:rPr>
        <w:t>)</w:t>
      </w:r>
    </w:p>
    <w:p w:rsidR="005F6FED" w:rsidRPr="00517347" w:rsidRDefault="005F6FED" w:rsidP="005F6FED">
      <w:pPr>
        <w:pStyle w:val="Paragraphedeliste"/>
        <w:numPr>
          <w:ilvl w:val="0"/>
          <w:numId w:val="1"/>
        </w:numPr>
        <w:jc w:val="both"/>
        <w:rPr>
          <w:sz w:val="21"/>
          <w:szCs w:val="21"/>
          <w:lang w:eastAsia="ja-JP"/>
        </w:rPr>
      </w:pPr>
      <w:r w:rsidRPr="00517347">
        <w:rPr>
          <w:sz w:val="21"/>
          <w:szCs w:val="21"/>
          <w:lang w:eastAsia="ja-JP"/>
        </w:rPr>
        <w:t>une table ronde sur la psychothérapie institutionnelle</w:t>
      </w:r>
    </w:p>
    <w:p w:rsidR="005F6FED" w:rsidRPr="00517347" w:rsidRDefault="005F6FED" w:rsidP="005F6FED">
      <w:pPr>
        <w:pStyle w:val="Paragraphedeliste"/>
        <w:numPr>
          <w:ilvl w:val="0"/>
          <w:numId w:val="1"/>
        </w:numPr>
        <w:jc w:val="both"/>
        <w:rPr>
          <w:sz w:val="21"/>
          <w:szCs w:val="21"/>
          <w:lang w:eastAsia="ja-JP"/>
        </w:rPr>
      </w:pPr>
      <w:r w:rsidRPr="00517347">
        <w:rPr>
          <w:sz w:val="21"/>
          <w:szCs w:val="21"/>
          <w:lang w:eastAsia="ja-JP"/>
        </w:rPr>
        <w:t>une table ronde sur la pédagogie institutionnelle</w:t>
      </w:r>
    </w:p>
    <w:p w:rsidR="005F6FED" w:rsidRPr="00517347" w:rsidRDefault="005F6FED" w:rsidP="005F6FED">
      <w:pPr>
        <w:pStyle w:val="Paragraphedeliste"/>
        <w:numPr>
          <w:ilvl w:val="0"/>
          <w:numId w:val="1"/>
        </w:numPr>
        <w:jc w:val="both"/>
        <w:rPr>
          <w:sz w:val="21"/>
          <w:szCs w:val="21"/>
          <w:lang w:eastAsia="ja-JP"/>
        </w:rPr>
      </w:pPr>
      <w:r w:rsidRPr="00517347">
        <w:rPr>
          <w:sz w:val="21"/>
          <w:szCs w:val="21"/>
          <w:lang w:eastAsia="ja-JP"/>
        </w:rPr>
        <w:t>des ateliers</w:t>
      </w:r>
      <w:r w:rsidR="00AE24F8" w:rsidRPr="00517347">
        <w:rPr>
          <w:sz w:val="21"/>
          <w:szCs w:val="21"/>
          <w:lang w:eastAsia="ja-JP"/>
        </w:rPr>
        <w:t> :</w:t>
      </w:r>
    </w:p>
    <w:p w:rsidR="00AE24F8"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a - </w:t>
      </w:r>
      <w:r w:rsidR="00AE24F8" w:rsidRPr="00517347">
        <w:rPr>
          <w:sz w:val="21"/>
          <w:szCs w:val="21"/>
          <w:lang w:eastAsia="ja-JP"/>
        </w:rPr>
        <w:t>La parole des enseignants et les équipes pédagogiques </w:t>
      </w:r>
    </w:p>
    <w:p w:rsidR="00AE24F8"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b - </w:t>
      </w:r>
      <w:r w:rsidR="00AE24F8" w:rsidRPr="00517347">
        <w:rPr>
          <w:sz w:val="21"/>
          <w:szCs w:val="21"/>
          <w:lang w:eastAsia="ja-JP"/>
        </w:rPr>
        <w:t>Les conditions de l’Éducation Nouvelle en France </w:t>
      </w:r>
    </w:p>
    <w:p w:rsidR="00AE24F8"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c - </w:t>
      </w:r>
      <w:r w:rsidR="00AE24F8" w:rsidRPr="00517347">
        <w:rPr>
          <w:sz w:val="21"/>
          <w:szCs w:val="21"/>
          <w:lang w:eastAsia="ja-JP"/>
        </w:rPr>
        <w:t>Les idées de l’éducation nouvelle dans l’enseignement agricole</w:t>
      </w:r>
    </w:p>
    <w:p w:rsidR="00AE24F8"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d - </w:t>
      </w:r>
      <w:r w:rsidR="00886F99" w:rsidRPr="00517347">
        <w:rPr>
          <w:sz w:val="21"/>
          <w:szCs w:val="21"/>
          <w:lang w:eastAsia="ja-JP"/>
        </w:rPr>
        <w:t>Théorie des systèmes et enseignement Freinet, théorie des systèmes et système éducatif</w:t>
      </w:r>
      <w:r w:rsidR="003923F3" w:rsidRPr="00517347">
        <w:rPr>
          <w:sz w:val="21"/>
          <w:szCs w:val="21"/>
          <w:lang w:eastAsia="ja-JP"/>
        </w:rPr>
        <w:t xml:space="preserve"> (</w:t>
      </w:r>
      <w:r w:rsidR="003923F3" w:rsidRPr="00517347">
        <w:rPr>
          <w:sz w:val="21"/>
          <w:szCs w:val="21"/>
        </w:rPr>
        <w:t>Dans quelle mesure les expériences en cours sont-elles transférables dans d’autres écoles, d’autres établissements ?)</w:t>
      </w:r>
    </w:p>
    <w:p w:rsidR="00886F99"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e - </w:t>
      </w:r>
      <w:r w:rsidR="00886F99" w:rsidRPr="00517347">
        <w:rPr>
          <w:sz w:val="21"/>
          <w:szCs w:val="21"/>
          <w:lang w:eastAsia="ja-JP"/>
        </w:rPr>
        <w:t>Possibilités de changement, théorie des systèm</w:t>
      </w:r>
      <w:r w:rsidR="00105AE6" w:rsidRPr="00517347">
        <w:rPr>
          <w:sz w:val="21"/>
          <w:szCs w:val="21"/>
          <w:lang w:eastAsia="ja-JP"/>
        </w:rPr>
        <w:t xml:space="preserve">es et théorie de l’institution — </w:t>
      </w:r>
      <w:r w:rsidR="00886F99" w:rsidRPr="00517347">
        <w:rPr>
          <w:sz w:val="21"/>
          <w:szCs w:val="21"/>
          <w:lang w:eastAsia="ja-JP"/>
        </w:rPr>
        <w:t>quelle refondation vra</w:t>
      </w:r>
      <w:r w:rsidR="00105AE6" w:rsidRPr="00517347">
        <w:rPr>
          <w:sz w:val="21"/>
          <w:szCs w:val="21"/>
          <w:lang w:eastAsia="ja-JP"/>
        </w:rPr>
        <w:t>ie pour l’École ?</w:t>
      </w:r>
    </w:p>
    <w:p w:rsidR="00886F99" w:rsidRPr="00517347" w:rsidRDefault="00B028CF" w:rsidP="00295FFE">
      <w:pPr>
        <w:pStyle w:val="Paragraphedeliste"/>
        <w:numPr>
          <w:ilvl w:val="1"/>
          <w:numId w:val="1"/>
        </w:numPr>
        <w:ind w:left="1134"/>
        <w:jc w:val="both"/>
        <w:rPr>
          <w:sz w:val="21"/>
          <w:szCs w:val="21"/>
          <w:lang w:eastAsia="ja-JP"/>
        </w:rPr>
      </w:pPr>
      <w:r w:rsidRPr="00517347">
        <w:rPr>
          <w:sz w:val="21"/>
          <w:szCs w:val="21"/>
        </w:rPr>
        <w:t xml:space="preserve">f - </w:t>
      </w:r>
      <w:r w:rsidR="003923F3" w:rsidRPr="00517347">
        <w:rPr>
          <w:sz w:val="21"/>
          <w:szCs w:val="21"/>
        </w:rPr>
        <w:t>Pédagogie Freinet et pensée complexe</w:t>
      </w:r>
    </w:p>
    <w:p w:rsidR="003923F3" w:rsidRPr="00517347" w:rsidRDefault="00B028CF" w:rsidP="00295FFE">
      <w:pPr>
        <w:pStyle w:val="Paragraphedeliste"/>
        <w:numPr>
          <w:ilvl w:val="1"/>
          <w:numId w:val="1"/>
        </w:numPr>
        <w:ind w:left="1134"/>
        <w:jc w:val="both"/>
        <w:rPr>
          <w:sz w:val="21"/>
          <w:szCs w:val="21"/>
          <w:lang w:eastAsia="ja-JP"/>
        </w:rPr>
      </w:pPr>
      <w:r w:rsidRPr="00517347">
        <w:rPr>
          <w:sz w:val="21"/>
          <w:szCs w:val="21"/>
        </w:rPr>
        <w:t xml:space="preserve">g - </w:t>
      </w:r>
      <w:r w:rsidR="003923F3" w:rsidRPr="00517347">
        <w:rPr>
          <w:sz w:val="21"/>
          <w:szCs w:val="21"/>
        </w:rPr>
        <w:t xml:space="preserve">La pédagogie Freinet : quelles synergies entre théorie et pratique, </w:t>
      </w:r>
      <w:r w:rsidR="00105AE6" w:rsidRPr="00517347">
        <w:rPr>
          <w:sz w:val="21"/>
          <w:szCs w:val="21"/>
        </w:rPr>
        <w:t>entre éducation, formation,</w:t>
      </w:r>
      <w:r w:rsidR="003923F3" w:rsidRPr="00517347">
        <w:rPr>
          <w:sz w:val="21"/>
          <w:szCs w:val="21"/>
        </w:rPr>
        <w:t xml:space="preserve"> recherche ?</w:t>
      </w:r>
    </w:p>
    <w:p w:rsidR="003923F3"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h - Pédagogie Freinet et/ou pédagogie institutionnelle dans la formation (initiale et continue) des enseignants. </w:t>
      </w:r>
      <w:r w:rsidR="003923F3" w:rsidRPr="00517347">
        <w:rPr>
          <w:sz w:val="21"/>
          <w:szCs w:val="21"/>
          <w:lang w:eastAsia="ja-JP"/>
        </w:rPr>
        <w:t xml:space="preserve">Place du mouvement de l’École Moderne dans les dispositifs de formation </w:t>
      </w:r>
      <w:r w:rsidRPr="00517347">
        <w:rPr>
          <w:sz w:val="21"/>
          <w:szCs w:val="21"/>
          <w:lang w:eastAsia="ja-JP"/>
        </w:rPr>
        <w:t>des enseignants ?</w:t>
      </w:r>
    </w:p>
    <w:p w:rsidR="00030277"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i - </w:t>
      </w:r>
      <w:r w:rsidR="00105AE6" w:rsidRPr="00517347">
        <w:rPr>
          <w:sz w:val="21"/>
          <w:szCs w:val="21"/>
          <w:lang w:eastAsia="ja-JP"/>
        </w:rPr>
        <w:t xml:space="preserve">Pédagogie Freinet et APS  — </w:t>
      </w:r>
      <w:r w:rsidR="00B914CE" w:rsidRPr="00517347">
        <w:rPr>
          <w:sz w:val="21"/>
          <w:szCs w:val="21"/>
          <w:lang w:eastAsia="ja-JP"/>
        </w:rPr>
        <w:t>le corps, le sport et la pédagogie</w:t>
      </w:r>
      <w:r w:rsidRPr="00517347">
        <w:rPr>
          <w:sz w:val="21"/>
          <w:szCs w:val="21"/>
          <w:lang w:eastAsia="ja-JP"/>
        </w:rPr>
        <w:t xml:space="preserve"> Freinet</w:t>
      </w:r>
      <w:r w:rsidR="00105AE6" w:rsidRPr="00517347">
        <w:rPr>
          <w:sz w:val="21"/>
          <w:szCs w:val="21"/>
          <w:lang w:eastAsia="ja-JP"/>
        </w:rPr>
        <w:t>.</w:t>
      </w:r>
    </w:p>
    <w:p w:rsidR="00B028CF" w:rsidRPr="00517347" w:rsidRDefault="00B028CF" w:rsidP="00295FFE">
      <w:pPr>
        <w:pStyle w:val="Paragraphedeliste"/>
        <w:numPr>
          <w:ilvl w:val="1"/>
          <w:numId w:val="1"/>
        </w:numPr>
        <w:ind w:left="1134"/>
        <w:jc w:val="both"/>
        <w:rPr>
          <w:sz w:val="21"/>
          <w:szCs w:val="21"/>
          <w:lang w:eastAsia="ja-JP"/>
        </w:rPr>
      </w:pPr>
      <w:r w:rsidRPr="00517347">
        <w:rPr>
          <w:sz w:val="21"/>
          <w:szCs w:val="21"/>
          <w:lang w:eastAsia="ja-JP"/>
        </w:rPr>
        <w:t xml:space="preserve">j </w:t>
      </w:r>
      <w:r w:rsidR="00276D8B" w:rsidRPr="00517347">
        <w:rPr>
          <w:sz w:val="21"/>
          <w:szCs w:val="21"/>
          <w:lang w:eastAsia="ja-JP"/>
        </w:rPr>
        <w:t>–</w:t>
      </w:r>
      <w:r w:rsidR="00A71989" w:rsidRPr="00517347">
        <w:rPr>
          <w:sz w:val="21"/>
          <w:szCs w:val="21"/>
          <w:lang w:eastAsia="ja-JP"/>
        </w:rPr>
        <w:t>En quoi la pédagogie Freinet permet-elle de penser le numérique dans une logique de projet et d’innovation ? La place et l’importance du document et de l’information dans le mouvement Freinet ? Enfin, quelle articulation entre innovation, numérique et information dans les travaux revendiquant l’approche de Freinet ?</w:t>
      </w:r>
      <w:r w:rsidR="001C61AB" w:rsidRPr="00517347">
        <w:rPr>
          <w:sz w:val="21"/>
          <w:szCs w:val="21"/>
          <w:lang w:eastAsia="ja-JP"/>
        </w:rPr>
        <w:t xml:space="preserve"> Quelle articulation entre éducation, numérique et démocratie dans une approche contemporaine de la pédagogie Freinet ? </w:t>
      </w:r>
    </w:p>
    <w:p w:rsidR="00886F99" w:rsidRPr="00517347" w:rsidRDefault="00886F99" w:rsidP="00AE24F8">
      <w:pPr>
        <w:pStyle w:val="Paragraphedeliste"/>
        <w:numPr>
          <w:ilvl w:val="1"/>
          <w:numId w:val="1"/>
        </w:numPr>
        <w:jc w:val="both"/>
        <w:rPr>
          <w:sz w:val="21"/>
          <w:szCs w:val="21"/>
          <w:lang w:eastAsia="ja-JP"/>
        </w:rPr>
      </w:pPr>
      <w:r w:rsidRPr="00517347">
        <w:rPr>
          <w:sz w:val="21"/>
          <w:szCs w:val="21"/>
          <w:lang w:eastAsia="ja-JP"/>
        </w:rPr>
        <w:t>…</w:t>
      </w:r>
    </w:p>
    <w:p w:rsidR="00AE24F8" w:rsidRPr="00517347" w:rsidRDefault="00B914CE" w:rsidP="005F6FED">
      <w:pPr>
        <w:pStyle w:val="Paragraphedeliste"/>
        <w:numPr>
          <w:ilvl w:val="0"/>
          <w:numId w:val="1"/>
        </w:numPr>
        <w:jc w:val="both"/>
        <w:rPr>
          <w:sz w:val="21"/>
          <w:szCs w:val="21"/>
          <w:lang w:eastAsia="ja-JP"/>
        </w:rPr>
      </w:pPr>
      <w:r w:rsidRPr="00517347">
        <w:rPr>
          <w:sz w:val="21"/>
          <w:szCs w:val="21"/>
          <w:lang w:eastAsia="ja-JP"/>
        </w:rPr>
        <w:t>une plénière (et une conférence) de “rebond“ pour la 2e journée</w:t>
      </w:r>
    </w:p>
    <w:p w:rsidR="004B645B" w:rsidRPr="00517347" w:rsidRDefault="00B914CE" w:rsidP="005F6FED">
      <w:pPr>
        <w:pStyle w:val="Paragraphedeliste"/>
        <w:numPr>
          <w:ilvl w:val="0"/>
          <w:numId w:val="1"/>
        </w:numPr>
        <w:jc w:val="both"/>
        <w:rPr>
          <w:sz w:val="21"/>
          <w:szCs w:val="21"/>
          <w:lang w:eastAsia="ja-JP"/>
        </w:rPr>
      </w:pPr>
      <w:r w:rsidRPr="00517347">
        <w:rPr>
          <w:sz w:val="21"/>
          <w:szCs w:val="21"/>
          <w:lang w:eastAsia="ja-JP"/>
        </w:rPr>
        <w:t xml:space="preserve">une plénière de bilan </w:t>
      </w:r>
    </w:p>
    <w:p w:rsidR="005F6FED" w:rsidRPr="00517347" w:rsidRDefault="005F6FED" w:rsidP="005F6FED">
      <w:pPr>
        <w:jc w:val="both"/>
        <w:rPr>
          <w:sz w:val="21"/>
          <w:szCs w:val="21"/>
          <w:lang w:eastAsia="ja-JP"/>
        </w:rPr>
      </w:pPr>
    </w:p>
    <w:p w:rsidR="005F6FED" w:rsidRPr="00517347" w:rsidRDefault="005F6FED" w:rsidP="005F6FED">
      <w:pPr>
        <w:jc w:val="both"/>
        <w:rPr>
          <w:sz w:val="21"/>
          <w:szCs w:val="21"/>
          <w:lang w:eastAsia="ja-JP"/>
        </w:rPr>
      </w:pPr>
    </w:p>
    <w:p w:rsidR="005F6FED" w:rsidRPr="00517347" w:rsidRDefault="00246358" w:rsidP="005F6FED">
      <w:pPr>
        <w:jc w:val="both"/>
        <w:rPr>
          <w:sz w:val="21"/>
          <w:szCs w:val="21"/>
          <w:lang w:eastAsia="ja-JP"/>
        </w:rPr>
      </w:pPr>
      <w:r w:rsidRPr="00517347">
        <w:rPr>
          <w:sz w:val="21"/>
          <w:szCs w:val="21"/>
          <w:lang w:eastAsia="ja-JP"/>
        </w:rPr>
        <w:t>Projet de programme</w:t>
      </w:r>
      <w:r w:rsidR="00B914CE" w:rsidRPr="00517347">
        <w:rPr>
          <w:sz w:val="21"/>
          <w:szCs w:val="21"/>
          <w:lang w:eastAsia="ja-JP"/>
        </w:rPr>
        <w:t xml:space="preserve"> (un programme définitif sera communiqué ultérieurement)</w:t>
      </w:r>
    </w:p>
    <w:p w:rsidR="00517347" w:rsidRDefault="00517347" w:rsidP="00517347">
      <w:pPr>
        <w:tabs>
          <w:tab w:val="left" w:pos="1418"/>
        </w:tabs>
        <w:jc w:val="both"/>
        <w:rPr>
          <w:sz w:val="21"/>
          <w:szCs w:val="21"/>
          <w:lang w:eastAsia="ja-JP"/>
        </w:rPr>
      </w:pPr>
    </w:p>
    <w:p w:rsidR="005F6FED" w:rsidRPr="00517347" w:rsidRDefault="00246358" w:rsidP="00517347">
      <w:pPr>
        <w:tabs>
          <w:tab w:val="left" w:pos="1418"/>
        </w:tabs>
        <w:jc w:val="both"/>
        <w:rPr>
          <w:sz w:val="21"/>
          <w:szCs w:val="21"/>
          <w:lang w:eastAsia="ja-JP"/>
        </w:rPr>
      </w:pPr>
      <w:r w:rsidRPr="00517347">
        <w:rPr>
          <w:sz w:val="21"/>
          <w:szCs w:val="21"/>
          <w:lang w:eastAsia="ja-JP"/>
        </w:rPr>
        <w:t>Matinée 1</w:t>
      </w:r>
      <w:r w:rsidR="00E7329C" w:rsidRPr="00517347">
        <w:rPr>
          <w:sz w:val="21"/>
          <w:szCs w:val="21"/>
          <w:lang w:eastAsia="ja-JP"/>
        </w:rPr>
        <w:t>0 VII</w:t>
      </w:r>
      <w:r w:rsidRPr="00517347">
        <w:rPr>
          <w:sz w:val="21"/>
          <w:szCs w:val="21"/>
          <w:lang w:eastAsia="ja-JP"/>
        </w:rPr>
        <w:t> : plénière d’entrée (brèves allocutions, prés</w:t>
      </w:r>
      <w:r w:rsidR="004F5B78" w:rsidRPr="00517347">
        <w:rPr>
          <w:sz w:val="21"/>
          <w:szCs w:val="21"/>
          <w:lang w:eastAsia="ja-JP"/>
        </w:rPr>
        <w:t>entation, une conférence (45mn</w:t>
      </w:r>
      <w:r w:rsidRPr="00517347">
        <w:rPr>
          <w:sz w:val="21"/>
          <w:szCs w:val="21"/>
          <w:lang w:eastAsia="ja-JP"/>
        </w:rPr>
        <w:t>)</w:t>
      </w:r>
      <w:r w:rsidR="00E7329C" w:rsidRPr="00517347">
        <w:rPr>
          <w:sz w:val="21"/>
          <w:szCs w:val="21"/>
          <w:lang w:eastAsia="ja-JP"/>
        </w:rPr>
        <w:t>)</w:t>
      </w:r>
    </w:p>
    <w:p w:rsidR="005F6FED" w:rsidRPr="00517347" w:rsidRDefault="00246358" w:rsidP="00517347">
      <w:pPr>
        <w:tabs>
          <w:tab w:val="left" w:pos="1418"/>
          <w:tab w:val="left" w:pos="1701"/>
        </w:tabs>
        <w:jc w:val="both"/>
        <w:rPr>
          <w:sz w:val="21"/>
          <w:szCs w:val="21"/>
          <w:lang w:eastAsia="ja-JP"/>
        </w:rPr>
      </w:pPr>
      <w:r w:rsidRPr="00517347">
        <w:rPr>
          <w:sz w:val="21"/>
          <w:szCs w:val="21"/>
          <w:lang w:eastAsia="ja-JP"/>
        </w:rPr>
        <w:t>Am1</w:t>
      </w:r>
      <w:r w:rsidR="00E7329C" w:rsidRPr="00517347">
        <w:rPr>
          <w:sz w:val="21"/>
          <w:szCs w:val="21"/>
          <w:lang w:eastAsia="ja-JP"/>
        </w:rPr>
        <w:t>0 VII</w:t>
      </w:r>
      <w:r w:rsidRPr="00517347">
        <w:rPr>
          <w:sz w:val="21"/>
          <w:szCs w:val="21"/>
          <w:lang w:eastAsia="ja-JP"/>
        </w:rPr>
        <w:t xml:space="preserve"> : </w:t>
      </w:r>
      <w:r w:rsidR="00517347">
        <w:rPr>
          <w:sz w:val="21"/>
          <w:szCs w:val="21"/>
          <w:lang w:eastAsia="ja-JP"/>
        </w:rPr>
        <w:tab/>
      </w:r>
      <w:r w:rsidR="00E560DA" w:rsidRPr="00517347">
        <w:rPr>
          <w:sz w:val="21"/>
          <w:szCs w:val="21"/>
          <w:lang w:eastAsia="ja-JP"/>
        </w:rPr>
        <w:t xml:space="preserve">table ronde sur la psychothérapie institutionnelle puis </w:t>
      </w:r>
      <w:r w:rsidRPr="00517347">
        <w:rPr>
          <w:sz w:val="21"/>
          <w:szCs w:val="21"/>
          <w:lang w:eastAsia="ja-JP"/>
        </w:rPr>
        <w:t>ateliers</w:t>
      </w:r>
    </w:p>
    <w:p w:rsidR="00246358" w:rsidRPr="00517347" w:rsidRDefault="00E7329C" w:rsidP="00517347">
      <w:pPr>
        <w:tabs>
          <w:tab w:val="left" w:pos="1418"/>
        </w:tabs>
        <w:jc w:val="both"/>
        <w:rPr>
          <w:sz w:val="21"/>
          <w:szCs w:val="21"/>
          <w:lang w:eastAsia="ja-JP"/>
        </w:rPr>
      </w:pPr>
      <w:r w:rsidRPr="00517347">
        <w:rPr>
          <w:sz w:val="21"/>
          <w:szCs w:val="21"/>
          <w:lang w:eastAsia="ja-JP"/>
        </w:rPr>
        <w:t>Matinée 11 VII</w:t>
      </w:r>
      <w:r w:rsidR="00246358" w:rsidRPr="00517347">
        <w:rPr>
          <w:sz w:val="21"/>
          <w:szCs w:val="21"/>
          <w:lang w:eastAsia="ja-JP"/>
        </w:rPr>
        <w:t xml:space="preserve"> : </w:t>
      </w:r>
      <w:r w:rsidR="00E560DA" w:rsidRPr="00517347">
        <w:rPr>
          <w:sz w:val="21"/>
          <w:szCs w:val="21"/>
          <w:lang w:eastAsia="ja-JP"/>
        </w:rPr>
        <w:t xml:space="preserve">table ronde sur la pédagogie institutionnelle </w:t>
      </w:r>
      <w:r w:rsidR="00FE2EEA" w:rsidRPr="00517347">
        <w:rPr>
          <w:sz w:val="21"/>
          <w:szCs w:val="21"/>
          <w:lang w:eastAsia="ja-JP"/>
        </w:rPr>
        <w:t>puis</w:t>
      </w:r>
      <w:r w:rsidR="00246358" w:rsidRPr="00517347">
        <w:rPr>
          <w:sz w:val="21"/>
          <w:szCs w:val="21"/>
          <w:lang w:eastAsia="ja-JP"/>
        </w:rPr>
        <w:t xml:space="preserve"> ateliers</w:t>
      </w:r>
    </w:p>
    <w:p w:rsidR="00246358" w:rsidRPr="00517347" w:rsidRDefault="00E7329C" w:rsidP="00517347">
      <w:pPr>
        <w:tabs>
          <w:tab w:val="left" w:pos="1418"/>
        </w:tabs>
        <w:jc w:val="both"/>
        <w:rPr>
          <w:sz w:val="21"/>
          <w:szCs w:val="21"/>
          <w:lang w:eastAsia="ja-JP"/>
        </w:rPr>
      </w:pPr>
      <w:r w:rsidRPr="00517347">
        <w:rPr>
          <w:sz w:val="21"/>
          <w:szCs w:val="21"/>
          <w:lang w:eastAsia="ja-JP"/>
        </w:rPr>
        <w:t xml:space="preserve">Am 11 VII : </w:t>
      </w:r>
      <w:r w:rsidR="00517347">
        <w:rPr>
          <w:sz w:val="21"/>
          <w:szCs w:val="21"/>
          <w:lang w:eastAsia="ja-JP"/>
        </w:rPr>
        <w:tab/>
      </w:r>
      <w:r w:rsidRPr="00517347">
        <w:rPr>
          <w:sz w:val="21"/>
          <w:szCs w:val="21"/>
          <w:lang w:eastAsia="ja-JP"/>
        </w:rPr>
        <w:t>une conférence (45mn</w:t>
      </w:r>
      <w:r w:rsidR="00FE2EEA" w:rsidRPr="00517347">
        <w:rPr>
          <w:sz w:val="21"/>
          <w:szCs w:val="21"/>
          <w:lang w:eastAsia="ja-JP"/>
        </w:rPr>
        <w:t>) puis</w:t>
      </w:r>
      <w:r w:rsidR="00246358" w:rsidRPr="00517347">
        <w:rPr>
          <w:sz w:val="21"/>
          <w:szCs w:val="21"/>
          <w:lang w:eastAsia="ja-JP"/>
        </w:rPr>
        <w:t xml:space="preserve"> ateliers</w:t>
      </w:r>
    </w:p>
    <w:p w:rsidR="00246358" w:rsidRPr="00517347" w:rsidRDefault="00E7329C" w:rsidP="00517347">
      <w:pPr>
        <w:tabs>
          <w:tab w:val="left" w:pos="1418"/>
        </w:tabs>
        <w:jc w:val="both"/>
        <w:rPr>
          <w:sz w:val="21"/>
          <w:szCs w:val="21"/>
          <w:lang w:eastAsia="ja-JP"/>
        </w:rPr>
      </w:pPr>
      <w:r w:rsidRPr="00517347">
        <w:rPr>
          <w:sz w:val="21"/>
          <w:szCs w:val="21"/>
          <w:lang w:eastAsia="ja-JP"/>
        </w:rPr>
        <w:t>Matinée 12 VII</w:t>
      </w:r>
      <w:r w:rsidR="00246358" w:rsidRPr="00517347">
        <w:rPr>
          <w:sz w:val="21"/>
          <w:szCs w:val="21"/>
          <w:lang w:eastAsia="ja-JP"/>
        </w:rPr>
        <w:t> :</w:t>
      </w:r>
      <w:r w:rsidR="00517347">
        <w:rPr>
          <w:sz w:val="21"/>
          <w:szCs w:val="21"/>
          <w:lang w:eastAsia="ja-JP"/>
        </w:rPr>
        <w:tab/>
      </w:r>
      <w:r w:rsidR="00246358" w:rsidRPr="00517347">
        <w:rPr>
          <w:sz w:val="21"/>
          <w:szCs w:val="21"/>
          <w:lang w:eastAsia="ja-JP"/>
        </w:rPr>
        <w:t xml:space="preserve"> ateliers</w:t>
      </w:r>
      <w:r w:rsidR="004F5B78" w:rsidRPr="00517347">
        <w:rPr>
          <w:sz w:val="21"/>
          <w:szCs w:val="21"/>
          <w:lang w:eastAsia="ja-JP"/>
        </w:rPr>
        <w:t xml:space="preserve"> (ou conférence 45mn puis ateliers)</w:t>
      </w:r>
    </w:p>
    <w:p w:rsidR="00EB42E2" w:rsidRPr="00517347" w:rsidRDefault="00E7329C" w:rsidP="00517347">
      <w:pPr>
        <w:tabs>
          <w:tab w:val="left" w:pos="1418"/>
        </w:tabs>
        <w:jc w:val="both"/>
        <w:rPr>
          <w:sz w:val="21"/>
          <w:szCs w:val="21"/>
          <w:lang w:eastAsia="ja-JP"/>
        </w:rPr>
      </w:pPr>
      <w:r w:rsidRPr="00517347">
        <w:rPr>
          <w:sz w:val="21"/>
          <w:szCs w:val="21"/>
          <w:lang w:eastAsia="ja-JP"/>
        </w:rPr>
        <w:t>Am 12 VII</w:t>
      </w:r>
      <w:r w:rsidR="00246358" w:rsidRPr="00517347">
        <w:rPr>
          <w:sz w:val="21"/>
          <w:szCs w:val="21"/>
          <w:lang w:eastAsia="ja-JP"/>
        </w:rPr>
        <w:t xml:space="preserve"> : </w:t>
      </w:r>
      <w:r w:rsidR="00517347">
        <w:rPr>
          <w:sz w:val="21"/>
          <w:szCs w:val="21"/>
          <w:lang w:eastAsia="ja-JP"/>
        </w:rPr>
        <w:tab/>
      </w:r>
      <w:r w:rsidR="00246358" w:rsidRPr="00517347">
        <w:rPr>
          <w:sz w:val="21"/>
          <w:szCs w:val="21"/>
          <w:lang w:eastAsia="ja-JP"/>
        </w:rPr>
        <w:t>plénière de bilan (</w:t>
      </w:r>
      <w:r w:rsidR="00FE2EEA" w:rsidRPr="00517347">
        <w:rPr>
          <w:sz w:val="21"/>
          <w:szCs w:val="21"/>
          <w:lang w:eastAsia="ja-JP"/>
        </w:rPr>
        <w:t>avec petite table ronde</w:t>
      </w:r>
      <w:r w:rsidR="00246358" w:rsidRPr="00517347">
        <w:rPr>
          <w:sz w:val="21"/>
          <w:szCs w:val="21"/>
          <w:lang w:eastAsia="ja-JP"/>
        </w:rPr>
        <w:t>)</w:t>
      </w:r>
    </w:p>
    <w:sectPr w:rsidR="00EB42E2" w:rsidRPr="00517347" w:rsidSect="00295FFE">
      <w:headerReference w:type="default" r:id="rId7"/>
      <w:footerReference w:type="even" r:id="rId8"/>
      <w:footerReference w:type="default" r:id="rId9"/>
      <w:pgSz w:w="11900" w:h="16840" w:code="9"/>
      <w:pgMar w:top="1134" w:right="1418" w:bottom="794"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CC5" w:rsidRDefault="009C2CC5" w:rsidP="005F6FED">
      <w:r>
        <w:separator/>
      </w:r>
    </w:p>
  </w:endnote>
  <w:endnote w:type="continuationSeparator" w:id="1">
    <w:p w:rsidR="009C2CC5" w:rsidRDefault="009C2CC5" w:rsidP="005F6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91" w:rsidRDefault="00A71FD4" w:rsidP="00580F96">
    <w:pPr>
      <w:pStyle w:val="Pieddepage"/>
      <w:framePr w:wrap="around" w:vAnchor="text" w:hAnchor="margin" w:xAlign="right" w:y="1"/>
      <w:rPr>
        <w:rStyle w:val="Numrodepage"/>
      </w:rPr>
    </w:pPr>
    <w:r>
      <w:rPr>
        <w:rStyle w:val="Numrodepage"/>
      </w:rPr>
      <w:fldChar w:fldCharType="begin"/>
    </w:r>
    <w:r w:rsidR="00D01591">
      <w:rPr>
        <w:rStyle w:val="Numrodepage"/>
      </w:rPr>
      <w:instrText xml:space="preserve">PAGE  </w:instrText>
    </w:r>
    <w:r>
      <w:rPr>
        <w:rStyle w:val="Numrodepage"/>
      </w:rPr>
      <w:fldChar w:fldCharType="end"/>
    </w:r>
  </w:p>
  <w:p w:rsidR="00D01591" w:rsidRDefault="00D01591" w:rsidP="00580F9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229493"/>
      <w:docPartObj>
        <w:docPartGallery w:val="Page Numbers (Bottom of Page)"/>
        <w:docPartUnique/>
      </w:docPartObj>
    </w:sdtPr>
    <w:sdtEndPr>
      <w:rPr>
        <w:sz w:val="20"/>
        <w:szCs w:val="20"/>
      </w:rPr>
    </w:sdtEndPr>
    <w:sdtContent>
      <w:p w:rsidR="00295FFE" w:rsidRPr="00295FFE" w:rsidRDefault="00A71FD4">
        <w:pPr>
          <w:pStyle w:val="Pieddepage"/>
          <w:jc w:val="right"/>
          <w:rPr>
            <w:sz w:val="20"/>
            <w:szCs w:val="20"/>
          </w:rPr>
        </w:pPr>
        <w:fldSimple w:instr="PAGE   \* MERGEFORMAT">
          <w:r w:rsidR="005276F7" w:rsidRPr="005276F7">
            <w:rPr>
              <w:noProof/>
              <w:sz w:val="20"/>
              <w:szCs w:val="20"/>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CC5" w:rsidRDefault="009C2CC5" w:rsidP="005F6FED">
      <w:r>
        <w:separator/>
      </w:r>
    </w:p>
  </w:footnote>
  <w:footnote w:type="continuationSeparator" w:id="1">
    <w:p w:rsidR="009C2CC5" w:rsidRDefault="009C2CC5" w:rsidP="005F6FED">
      <w:r>
        <w:continuationSeparator/>
      </w:r>
    </w:p>
  </w:footnote>
  <w:footnote w:id="2">
    <w:p w:rsidR="00D01591" w:rsidRPr="00295FFE" w:rsidRDefault="00D01591" w:rsidP="005F6FED">
      <w:pPr>
        <w:pStyle w:val="Notedebasdepage"/>
        <w:spacing w:after="0"/>
        <w:jc w:val="both"/>
        <w:rPr>
          <w:rFonts w:ascii="Times" w:hAnsi="Times"/>
          <w:sz w:val="16"/>
          <w:szCs w:val="16"/>
        </w:rPr>
      </w:pPr>
      <w:r w:rsidRPr="00295FFE">
        <w:rPr>
          <w:rStyle w:val="Appelnotedebasdep"/>
          <w:rFonts w:ascii="Times" w:hAnsi="Times"/>
          <w:szCs w:val="16"/>
        </w:rPr>
        <w:footnoteRef/>
      </w:r>
      <w:r w:rsidRPr="00295FFE">
        <w:rPr>
          <w:rFonts w:ascii="Times" w:hAnsi="Times"/>
          <w:sz w:val="16"/>
          <w:szCs w:val="16"/>
        </w:rPr>
        <w:t xml:space="preserve"> Cf colloque de l’AFDECE à Saint Domingue : </w:t>
      </w:r>
      <w:r w:rsidRPr="00295FFE">
        <w:rPr>
          <w:rFonts w:ascii="Times" w:hAnsi="Times"/>
          <w:bCs/>
          <w:sz w:val="16"/>
          <w:szCs w:val="16"/>
        </w:rPr>
        <w:t>Les chercheurs collectifs coopératifs, une démarche professionnalisante dans la fonction de formation des enseignants.</w:t>
      </w:r>
    </w:p>
  </w:footnote>
  <w:footnote w:id="3">
    <w:p w:rsidR="00D01591" w:rsidRPr="00295FFE" w:rsidRDefault="00D01591" w:rsidP="005F6FED">
      <w:pPr>
        <w:pStyle w:val="Notedebasdepage"/>
        <w:spacing w:after="0"/>
        <w:jc w:val="both"/>
        <w:rPr>
          <w:rFonts w:ascii="Times" w:hAnsi="Times"/>
          <w:sz w:val="16"/>
          <w:szCs w:val="16"/>
        </w:rPr>
      </w:pPr>
      <w:r w:rsidRPr="00295FFE">
        <w:rPr>
          <w:rStyle w:val="Appelnotedebasdep"/>
          <w:rFonts w:ascii="Times" w:hAnsi="Times"/>
          <w:szCs w:val="16"/>
        </w:rPr>
        <w:footnoteRef/>
      </w:r>
      <w:r w:rsidRPr="00295FFE">
        <w:rPr>
          <w:rFonts w:ascii="Times" w:hAnsi="Times"/>
          <w:sz w:val="16"/>
          <w:szCs w:val="16"/>
        </w:rPr>
        <w:t xml:space="preserve"> Ils montrent l’efficience de cette pédagogie dans des lieux populaires défavorisés. Cf. </w:t>
      </w:r>
      <w:r w:rsidRPr="00295FFE">
        <w:rPr>
          <w:rFonts w:ascii="Times" w:hAnsi="Times"/>
          <w:color w:val="000000"/>
          <w:sz w:val="16"/>
          <w:szCs w:val="16"/>
        </w:rPr>
        <w:t>Reuter Y., (2007)</w:t>
      </w:r>
    </w:p>
  </w:footnote>
  <w:footnote w:id="4">
    <w:p w:rsidR="00D01591" w:rsidRPr="00517347" w:rsidRDefault="00D01591" w:rsidP="005F6FED">
      <w:pPr>
        <w:pStyle w:val="Notedebasdepage"/>
        <w:spacing w:after="0"/>
        <w:jc w:val="both"/>
        <w:rPr>
          <w:rFonts w:ascii="Times" w:hAnsi="Times"/>
          <w:sz w:val="18"/>
          <w:szCs w:val="18"/>
        </w:rPr>
      </w:pPr>
      <w:r w:rsidRPr="00517347">
        <w:rPr>
          <w:rStyle w:val="Appelnotedebasdep"/>
          <w:rFonts w:ascii="Times" w:hAnsi="Times"/>
          <w:sz w:val="18"/>
          <w:szCs w:val="18"/>
        </w:rPr>
        <w:footnoteRef/>
      </w:r>
      <w:r w:rsidRPr="00517347">
        <w:rPr>
          <w:rFonts w:ascii="Times" w:hAnsi="Times"/>
          <w:sz w:val="18"/>
          <w:szCs w:val="18"/>
        </w:rPr>
        <w:t xml:space="preserve"> Ils soulignent la pertinence de la pratique du texte libre, à travers des approches : anthropologique, historique et expérimentale — cf… Clanché P., (2010).</w:t>
      </w:r>
    </w:p>
  </w:footnote>
  <w:footnote w:id="5">
    <w:p w:rsidR="00D01591" w:rsidRPr="00517347" w:rsidRDefault="00D01591" w:rsidP="005F6FED">
      <w:pPr>
        <w:pStyle w:val="Notedebasdepage"/>
        <w:spacing w:after="0"/>
        <w:jc w:val="both"/>
        <w:rPr>
          <w:rFonts w:ascii="Times" w:hAnsi="Times"/>
          <w:sz w:val="18"/>
          <w:szCs w:val="18"/>
        </w:rPr>
      </w:pPr>
      <w:r w:rsidRPr="00517347">
        <w:rPr>
          <w:rStyle w:val="Appelnotedebasdep"/>
          <w:rFonts w:ascii="Times" w:hAnsi="Times"/>
          <w:sz w:val="18"/>
          <w:szCs w:val="18"/>
        </w:rPr>
        <w:footnoteRef/>
      </w:r>
      <w:r w:rsidRPr="00517347">
        <w:rPr>
          <w:rFonts w:ascii="Times" w:hAnsi="Times"/>
          <w:sz w:val="18"/>
          <w:szCs w:val="18"/>
        </w:rPr>
        <w:t xml:space="preserve"> Ils portent sur le tâtonnement expérimental </w:t>
      </w:r>
      <w:r w:rsidRPr="00517347">
        <w:rPr>
          <w:rFonts w:ascii="Times" w:hAnsi="Times"/>
          <w:strike/>
          <w:sz w:val="18"/>
          <w:szCs w:val="18"/>
        </w:rPr>
        <w:t>et</w:t>
      </w:r>
      <w:r w:rsidRPr="00517347">
        <w:rPr>
          <w:rFonts w:ascii="Times" w:hAnsi="Times"/>
          <w:sz w:val="18"/>
          <w:szCs w:val="18"/>
        </w:rPr>
        <w:t xml:space="preserve"> permettent d’intégrer les avancées de plusieurs domaines scientifiques dans la pédagogie et la didactique des sciences — cf. Lèmery E., (2010)..</w:t>
      </w:r>
    </w:p>
  </w:footnote>
  <w:footnote w:id="6">
    <w:p w:rsidR="00D01591" w:rsidRPr="00517347" w:rsidRDefault="00D01591" w:rsidP="005F6FED">
      <w:pPr>
        <w:pStyle w:val="Notedebasdepage"/>
        <w:spacing w:after="0"/>
        <w:jc w:val="both"/>
        <w:rPr>
          <w:rFonts w:ascii="Times" w:hAnsi="Times"/>
          <w:sz w:val="18"/>
          <w:szCs w:val="18"/>
        </w:rPr>
      </w:pPr>
      <w:r w:rsidRPr="00517347">
        <w:rPr>
          <w:rStyle w:val="Appelnotedebasdep"/>
          <w:rFonts w:ascii="Times" w:hAnsi="Times"/>
          <w:sz w:val="18"/>
          <w:szCs w:val="18"/>
        </w:rPr>
        <w:footnoteRef/>
      </w:r>
      <w:r w:rsidRPr="00517347">
        <w:rPr>
          <w:rFonts w:ascii="Times" w:hAnsi="Times"/>
          <w:sz w:val="18"/>
          <w:szCs w:val="18"/>
        </w:rPr>
        <w:t xml:space="preserve"> Elle </w:t>
      </w:r>
      <w:r w:rsidRPr="00517347">
        <w:rPr>
          <w:rFonts w:ascii="Times" w:hAnsi="Times" w:cs="Century Gothic"/>
          <w:sz w:val="18"/>
          <w:szCs w:val="18"/>
        </w:rPr>
        <w:t>a montré en quoi cette pédagogie a été conçue comme un système — cf. Go LH, (2007).</w:t>
      </w:r>
    </w:p>
  </w:footnote>
  <w:footnote w:id="7">
    <w:p w:rsidR="00D01591" w:rsidRPr="00517347" w:rsidRDefault="00D01591" w:rsidP="00544803">
      <w:pPr>
        <w:jc w:val="both"/>
        <w:rPr>
          <w:smallCaps/>
          <w:sz w:val="18"/>
          <w:szCs w:val="18"/>
        </w:rPr>
      </w:pPr>
      <w:r w:rsidRPr="00517347">
        <w:rPr>
          <w:rStyle w:val="Appelnotedebasdep"/>
          <w:rFonts w:ascii="Times" w:hAnsi="Times"/>
          <w:sz w:val="18"/>
          <w:szCs w:val="18"/>
        </w:rPr>
        <w:footnoteRef/>
      </w:r>
      <w:r w:rsidRPr="00517347">
        <w:rPr>
          <w:rFonts w:ascii="Times" w:hAnsi="Times"/>
          <w:sz w:val="18"/>
          <w:szCs w:val="18"/>
        </w:rPr>
        <w:t xml:space="preserve"> </w:t>
      </w:r>
      <w:r w:rsidRPr="00517347">
        <w:rPr>
          <w:rStyle w:val="Rfrenceple"/>
          <w:rFonts w:ascii="Times" w:hAnsi="Times"/>
          <w:spacing w:val="2"/>
          <w:sz w:val="18"/>
          <w:szCs w:val="18"/>
        </w:rPr>
        <w:t>L</w:t>
      </w:r>
      <w:r w:rsidRPr="00517347">
        <w:rPr>
          <w:rStyle w:val="Rfrenceple"/>
          <w:rFonts w:ascii="Times" w:hAnsi="Times"/>
          <w:smallCaps w:val="0"/>
          <w:spacing w:val="2"/>
          <w:sz w:val="18"/>
          <w:szCs w:val="18"/>
        </w:rPr>
        <w:t>èmery</w:t>
      </w:r>
      <w:r w:rsidRPr="00517347">
        <w:rPr>
          <w:rStyle w:val="Rfrenceple"/>
          <w:rFonts w:ascii="Times" w:hAnsi="Times"/>
          <w:spacing w:val="2"/>
          <w:sz w:val="18"/>
          <w:szCs w:val="18"/>
        </w:rPr>
        <w:t xml:space="preserve"> J.(1996). </w:t>
      </w:r>
      <w:r w:rsidRPr="00517347">
        <w:rPr>
          <w:rStyle w:val="Rfrenceple"/>
          <w:rFonts w:ascii="Times" w:hAnsi="Times"/>
          <w:i/>
          <w:smallCaps w:val="0"/>
          <w:spacing w:val="2"/>
          <w:sz w:val="18"/>
          <w:szCs w:val="18"/>
        </w:rPr>
        <w:t>La pédagogie Freinet, est-ce une méthode ou une organisation systémique</w:t>
      </w:r>
      <w:r w:rsidRPr="00517347">
        <w:rPr>
          <w:rStyle w:val="Rfrenceple"/>
          <w:rFonts w:ascii="Times" w:hAnsi="Times"/>
          <w:smallCaps w:val="0"/>
          <w:spacing w:val="2"/>
          <w:sz w:val="18"/>
          <w:szCs w:val="18"/>
        </w:rPr>
        <w:t xml:space="preserve"> ? Le Nouvel éducateur N°81, Mouans-Sartoux</w:t>
      </w:r>
      <w:r w:rsidRPr="00517347">
        <w:rPr>
          <w:rStyle w:val="Rfrenceple"/>
          <w:rFonts w:ascii="Times" w:hAnsi="Times"/>
          <w:spacing w:val="2"/>
          <w:sz w:val="18"/>
          <w:szCs w:val="18"/>
        </w:rPr>
        <w:t>, p.4-13</w:t>
      </w:r>
    </w:p>
  </w:footnote>
  <w:footnote w:id="8">
    <w:p w:rsidR="00D01591" w:rsidRPr="00517347" w:rsidRDefault="00D01591" w:rsidP="00544803">
      <w:pPr>
        <w:pStyle w:val="Notedebasdepage"/>
        <w:spacing w:after="0"/>
        <w:jc w:val="both"/>
        <w:rPr>
          <w:sz w:val="18"/>
          <w:szCs w:val="18"/>
        </w:rPr>
      </w:pPr>
      <w:r w:rsidRPr="00517347">
        <w:rPr>
          <w:rStyle w:val="Appelnotedebasdep"/>
          <w:sz w:val="18"/>
          <w:szCs w:val="18"/>
        </w:rPr>
        <w:footnoteRef/>
      </w:r>
      <w:r w:rsidRPr="00517347">
        <w:rPr>
          <w:sz w:val="18"/>
          <w:szCs w:val="18"/>
        </w:rPr>
        <w:t xml:space="preserve"> </w:t>
      </w:r>
      <w:r w:rsidRPr="00517347">
        <w:rPr>
          <w:rFonts w:ascii="Times" w:hAnsi="Times"/>
          <w:sz w:val="18"/>
          <w:szCs w:val="18"/>
        </w:rPr>
        <w:t>Pour une réflexion sur les différentes catégories de PI, cf. notamment Ardoino &amp; Lourau 1994, Sallaberry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FE" w:rsidRDefault="00A71FD4" w:rsidP="00295FFE">
    <w:pPr>
      <w:widowControl w:val="0"/>
      <w:autoSpaceDE w:val="0"/>
      <w:autoSpaceDN w:val="0"/>
      <w:adjustRightInd w:val="0"/>
      <w:spacing w:after="240"/>
      <w:ind w:left="-567" w:right="-715"/>
    </w:pPr>
    <w:r>
      <w:rPr>
        <w:noProof/>
      </w:rPr>
      <w:pict>
        <v:shapetype id="_x0000_t202" coordsize="21600,21600" o:spt="202" path="m,l,21600r21600,l21600,xe">
          <v:stroke joinstyle="miter"/>
          <v:path gradientshapeok="t" o:connecttype="rect"/>
        </v:shapetype>
        <v:shape id="Zone de texte 2" o:spid="_x0000_s4096" type="#_x0000_t202" style="position:absolute;left:0;text-align:left;margin-left:103.75pt;margin-top:18pt;width:87pt;height:33.2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" strokecolor="white [3212]">
          <v:textbox style="mso-fit-shape-to-text:t">
            <w:txbxContent>
              <w:p w:rsidR="00295FFE" w:rsidRPr="009109CB" w:rsidRDefault="00295FFE" w:rsidP="00295FFE">
                <w:pPr>
                  <w:rPr>
                    <w:b/>
                  </w:rPr>
                </w:pPr>
                <w:r w:rsidRPr="009109CB">
                  <w:rPr>
                    <w:b/>
                  </w:rPr>
                  <w:t>AFIRSE</w:t>
                </w:r>
              </w:p>
              <w:p w:rsidR="00295FFE" w:rsidRPr="009109CB" w:rsidRDefault="00295FFE" w:rsidP="00295FFE">
                <w:pPr>
                  <w:rPr>
                    <w:i/>
                    <w:sz w:val="20"/>
                    <w:szCs w:val="20"/>
                  </w:rPr>
                </w:pPr>
                <w:r w:rsidRPr="009109CB">
                  <w:rPr>
                    <w:i/>
                    <w:sz w:val="20"/>
                    <w:szCs w:val="20"/>
                  </w:rPr>
                  <w:t>Section française</w:t>
                </w:r>
              </w:p>
            </w:txbxContent>
          </v:textbox>
        </v:shape>
      </w:pict>
    </w:r>
    <w:r w:rsidR="00295FFE">
      <w:rPr>
        <w:rFonts w:ascii="Arial" w:hAnsi="Arial" w:cs="Arial"/>
        <w:b/>
        <w:bCs/>
        <w:noProof/>
        <w:color w:val="0C00FA"/>
        <w:sz w:val="22"/>
        <w:szCs w:val="22"/>
      </w:rPr>
      <w:drawing>
        <wp:inline distT="0" distB="0" distL="0" distR="0">
          <wp:extent cx="617220" cy="7631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06" cy="765097"/>
                  </a:xfrm>
                  <a:prstGeom prst="rect">
                    <a:avLst/>
                  </a:prstGeom>
                  <a:noFill/>
                  <a:ln>
                    <a:noFill/>
                  </a:ln>
                </pic:spPr>
              </pic:pic>
            </a:graphicData>
          </a:graphic>
        </wp:inline>
      </w:drawing>
    </w:r>
    <w:r w:rsidR="00295FFE">
      <w:t xml:space="preserve">            </w:t>
    </w:r>
    <w:r w:rsidR="00295FFE">
      <w:rPr>
        <w:rFonts w:ascii="Times" w:hAnsi="Times" w:cs="Times"/>
        <w:noProof/>
      </w:rPr>
      <w:drawing>
        <wp:inline distT="0" distB="0" distL="0" distR="0">
          <wp:extent cx="731520" cy="74381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2298" cy="744606"/>
                  </a:xfrm>
                  <a:prstGeom prst="rect">
                    <a:avLst/>
                  </a:prstGeom>
                  <a:noFill/>
                  <a:ln>
                    <a:noFill/>
                  </a:ln>
                </pic:spPr>
              </pic:pic>
            </a:graphicData>
          </a:graphic>
        </wp:inline>
      </w:drawing>
    </w:r>
    <w:r w:rsidR="00295FFE">
      <w:t xml:space="preserve">                        </w:t>
    </w:r>
    <w:r w:rsidR="00295FFE">
      <w:rPr>
        <w:noProof/>
      </w:rPr>
      <w:t xml:space="preserve"> </w:t>
    </w:r>
    <w:r w:rsidR="00295FFE">
      <w:rPr>
        <w:rFonts w:ascii="Times" w:hAnsi="Times" w:cs="Times"/>
        <w:i/>
        <w:iCs/>
        <w:sz w:val="22"/>
        <w:szCs w:val="22"/>
        <w:lang w:eastAsia="ja-JP"/>
      </w:rPr>
      <w:t xml:space="preserve">         </w:t>
    </w:r>
    <w:r w:rsidR="00295FFE">
      <w:rPr>
        <w:noProof/>
      </w:rPr>
      <w:drawing>
        <wp:inline distT="0" distB="0" distL="0" distR="0">
          <wp:extent cx="861060" cy="586411"/>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pe aquitaine rvb.jpg"/>
                  <pic:cNvPicPr/>
                </pic:nvPicPr>
                <pic:blipFill>
                  <a:blip r:embed="rId3">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9849" cy="592397"/>
                  </a:xfrm>
                  <a:prstGeom prst="rect">
                    <a:avLst/>
                  </a:prstGeom>
                </pic:spPr>
              </pic:pic>
            </a:graphicData>
          </a:graphic>
        </wp:inline>
      </w:drawing>
    </w:r>
    <w:r w:rsidR="00295FFE">
      <w:rPr>
        <w:noProof/>
      </w:rPr>
      <w:drawing>
        <wp:inline distT="0" distB="0" distL="0" distR="0">
          <wp:extent cx="1208048" cy="48463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é_Bordeaux_(Logo_2013).jpg"/>
                  <pic:cNvPicPr/>
                </pic:nvPicPr>
                <pic:blipFill>
                  <a:blip r:embed="rId4">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6589" cy="484047"/>
                  </a:xfrm>
                  <a:prstGeom prst="rect">
                    <a:avLst/>
                  </a:prstGeom>
                </pic:spPr>
              </pic:pic>
            </a:graphicData>
          </a:graphic>
        </wp:inline>
      </w:drawing>
    </w:r>
    <w:r w:rsidR="00295FFE">
      <w:rPr>
        <w:noProof/>
      </w:rPr>
      <w:drawing>
        <wp:inline distT="0" distB="0" distL="0" distR="0">
          <wp:extent cx="1371600" cy="39048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ces-grand.jpg"/>
                  <pic:cNvPicPr/>
                </pic:nvPicPr>
                <pic:blipFill>
                  <a:blip r:embed="rId5">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4648" cy="39419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56689"/>
    <w:multiLevelType w:val="hybridMultilevel"/>
    <w:tmpl w:val="F9CA6D16"/>
    <w:lvl w:ilvl="0" w:tplc="68A291C6">
      <w:start w:val="2016"/>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useFELayout/>
  </w:compat>
  <w:rsids>
    <w:rsidRoot w:val="005F6FED"/>
    <w:rsid w:val="00030277"/>
    <w:rsid w:val="000D31DA"/>
    <w:rsid w:val="00105AE6"/>
    <w:rsid w:val="001C61AB"/>
    <w:rsid w:val="00243947"/>
    <w:rsid w:val="00246358"/>
    <w:rsid w:val="00260633"/>
    <w:rsid w:val="00276D8B"/>
    <w:rsid w:val="00295FFE"/>
    <w:rsid w:val="002C458D"/>
    <w:rsid w:val="003724EA"/>
    <w:rsid w:val="003923F3"/>
    <w:rsid w:val="003C2BB4"/>
    <w:rsid w:val="004B645B"/>
    <w:rsid w:val="004F5B78"/>
    <w:rsid w:val="00517347"/>
    <w:rsid w:val="005276F7"/>
    <w:rsid w:val="00534C17"/>
    <w:rsid w:val="00544803"/>
    <w:rsid w:val="00580F96"/>
    <w:rsid w:val="005B0C13"/>
    <w:rsid w:val="005F6FED"/>
    <w:rsid w:val="0060786C"/>
    <w:rsid w:val="00641FDC"/>
    <w:rsid w:val="0064269D"/>
    <w:rsid w:val="00720BB9"/>
    <w:rsid w:val="00730D5C"/>
    <w:rsid w:val="007622B0"/>
    <w:rsid w:val="00767E0B"/>
    <w:rsid w:val="00787041"/>
    <w:rsid w:val="00790801"/>
    <w:rsid w:val="007B6350"/>
    <w:rsid w:val="00886F99"/>
    <w:rsid w:val="008C27B9"/>
    <w:rsid w:val="008D1B0D"/>
    <w:rsid w:val="009413F6"/>
    <w:rsid w:val="009C2CC5"/>
    <w:rsid w:val="00A71989"/>
    <w:rsid w:val="00A71FD4"/>
    <w:rsid w:val="00A93071"/>
    <w:rsid w:val="00AE24F8"/>
    <w:rsid w:val="00B028CF"/>
    <w:rsid w:val="00B914CE"/>
    <w:rsid w:val="00C0443F"/>
    <w:rsid w:val="00C16D7E"/>
    <w:rsid w:val="00C554F2"/>
    <w:rsid w:val="00D01591"/>
    <w:rsid w:val="00D5367E"/>
    <w:rsid w:val="00E00E5B"/>
    <w:rsid w:val="00E21DB8"/>
    <w:rsid w:val="00E560DA"/>
    <w:rsid w:val="00E625C1"/>
    <w:rsid w:val="00E62652"/>
    <w:rsid w:val="00E7329C"/>
    <w:rsid w:val="00EB42E2"/>
    <w:rsid w:val="00EC7C8F"/>
    <w:rsid w:val="00F41ED5"/>
    <w:rsid w:val="00FE2EEA"/>
    <w:rsid w:val="00FF3DF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ED"/>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note de bas de page"/>
    <w:basedOn w:val="Policepardfaut"/>
    <w:rsid w:val="00EB42E2"/>
    <w:rPr>
      <w:position w:val="6"/>
      <w:sz w:val="16"/>
    </w:rPr>
  </w:style>
  <w:style w:type="paragraph" w:styleId="Paragraphedeliste">
    <w:name w:val="List Paragraph"/>
    <w:basedOn w:val="Normal"/>
    <w:uiPriority w:val="34"/>
    <w:qFormat/>
    <w:rsid w:val="005F6FED"/>
    <w:pPr>
      <w:ind w:left="720"/>
      <w:contextualSpacing/>
    </w:pPr>
  </w:style>
  <w:style w:type="paragraph" w:styleId="Notedebasdepage">
    <w:name w:val="footnote text"/>
    <w:basedOn w:val="Normal"/>
    <w:link w:val="NotedebasdepageCar"/>
    <w:uiPriority w:val="99"/>
    <w:unhideWhenUsed/>
    <w:rsid w:val="005F6FED"/>
    <w:pPr>
      <w:spacing w:after="200"/>
    </w:pPr>
    <w:rPr>
      <w:rFonts w:ascii="Cambria" w:eastAsia="Cambria" w:hAnsi="Cambria"/>
      <w:lang w:eastAsia="en-US"/>
    </w:rPr>
  </w:style>
  <w:style w:type="character" w:customStyle="1" w:styleId="NotedebasdepageCar">
    <w:name w:val="Note de bas de page Car"/>
    <w:basedOn w:val="Policepardfaut"/>
    <w:link w:val="Notedebasdepage"/>
    <w:uiPriority w:val="99"/>
    <w:rsid w:val="005F6FED"/>
    <w:rPr>
      <w:rFonts w:ascii="Cambria" w:eastAsia="Cambria" w:hAnsi="Cambria"/>
      <w:sz w:val="24"/>
      <w:szCs w:val="24"/>
      <w:lang w:eastAsia="en-US"/>
    </w:rPr>
  </w:style>
  <w:style w:type="paragraph" w:styleId="En-tte">
    <w:name w:val="header"/>
    <w:basedOn w:val="Normal"/>
    <w:link w:val="En-tteCar"/>
    <w:rsid w:val="005F6FED"/>
    <w:pPr>
      <w:tabs>
        <w:tab w:val="center" w:pos="4536"/>
        <w:tab w:val="right" w:pos="9072"/>
      </w:tabs>
    </w:pPr>
    <w:rPr>
      <w:rFonts w:eastAsia="Times New Roman"/>
      <w:lang w:eastAsia="en-US"/>
    </w:rPr>
  </w:style>
  <w:style w:type="character" w:customStyle="1" w:styleId="En-tteCar">
    <w:name w:val="En-tête Car"/>
    <w:basedOn w:val="Policepardfaut"/>
    <w:link w:val="En-tte"/>
    <w:rsid w:val="005F6FED"/>
    <w:rPr>
      <w:rFonts w:eastAsia="Times New Roman"/>
      <w:sz w:val="24"/>
      <w:szCs w:val="24"/>
      <w:lang w:eastAsia="en-US"/>
    </w:rPr>
  </w:style>
  <w:style w:type="paragraph" w:styleId="Pieddepage">
    <w:name w:val="footer"/>
    <w:basedOn w:val="Normal"/>
    <w:link w:val="PieddepageCar"/>
    <w:uiPriority w:val="99"/>
    <w:unhideWhenUsed/>
    <w:rsid w:val="005F6FED"/>
    <w:pPr>
      <w:tabs>
        <w:tab w:val="center" w:pos="4536"/>
        <w:tab w:val="right" w:pos="9072"/>
      </w:tabs>
    </w:pPr>
  </w:style>
  <w:style w:type="character" w:customStyle="1" w:styleId="PieddepageCar">
    <w:name w:val="Pied de page Car"/>
    <w:basedOn w:val="Policepardfaut"/>
    <w:link w:val="Pieddepage"/>
    <w:uiPriority w:val="99"/>
    <w:rsid w:val="005F6FED"/>
    <w:rPr>
      <w:sz w:val="24"/>
      <w:szCs w:val="24"/>
      <w:lang w:eastAsia="fr-FR"/>
    </w:rPr>
  </w:style>
  <w:style w:type="character" w:styleId="Numrodepage">
    <w:name w:val="page number"/>
    <w:basedOn w:val="Policepardfaut"/>
    <w:uiPriority w:val="99"/>
    <w:semiHidden/>
    <w:unhideWhenUsed/>
    <w:rsid w:val="005F6FED"/>
  </w:style>
  <w:style w:type="character" w:styleId="Rfrenceple">
    <w:name w:val="Subtle Reference"/>
    <w:qFormat/>
    <w:rsid w:val="005F6FED"/>
    <w:rPr>
      <w:smallCaps/>
    </w:rPr>
  </w:style>
  <w:style w:type="paragraph" w:styleId="Textedebulles">
    <w:name w:val="Balloon Text"/>
    <w:basedOn w:val="Normal"/>
    <w:link w:val="TextedebullesCar"/>
    <w:uiPriority w:val="99"/>
    <w:semiHidden/>
    <w:unhideWhenUsed/>
    <w:rsid w:val="00295FFE"/>
    <w:rPr>
      <w:rFonts w:ascii="Tahoma" w:hAnsi="Tahoma" w:cs="Tahoma"/>
      <w:sz w:val="16"/>
      <w:szCs w:val="16"/>
    </w:rPr>
  </w:style>
  <w:style w:type="character" w:customStyle="1" w:styleId="TextedebullesCar">
    <w:name w:val="Texte de bulles Car"/>
    <w:basedOn w:val="Policepardfaut"/>
    <w:link w:val="Textedebulles"/>
    <w:uiPriority w:val="99"/>
    <w:semiHidden/>
    <w:rsid w:val="00295FFE"/>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ED"/>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note de bas de page"/>
    <w:basedOn w:val="Policepardfaut"/>
    <w:rsid w:val="00EB42E2"/>
    <w:rPr>
      <w:position w:val="6"/>
      <w:sz w:val="16"/>
    </w:rPr>
  </w:style>
  <w:style w:type="paragraph" w:styleId="Paragraphedeliste">
    <w:name w:val="List Paragraph"/>
    <w:basedOn w:val="Normal"/>
    <w:uiPriority w:val="34"/>
    <w:qFormat/>
    <w:rsid w:val="005F6FED"/>
    <w:pPr>
      <w:ind w:left="720"/>
      <w:contextualSpacing/>
    </w:pPr>
  </w:style>
  <w:style w:type="paragraph" w:styleId="Notedebasdepage">
    <w:name w:val="footnote text"/>
    <w:basedOn w:val="Normal"/>
    <w:link w:val="NotedebasdepageCar"/>
    <w:uiPriority w:val="99"/>
    <w:unhideWhenUsed/>
    <w:rsid w:val="005F6FED"/>
    <w:pPr>
      <w:spacing w:after="200"/>
    </w:pPr>
    <w:rPr>
      <w:rFonts w:ascii="Cambria" w:eastAsia="Cambria" w:hAnsi="Cambria"/>
      <w:lang w:eastAsia="en-US"/>
    </w:rPr>
  </w:style>
  <w:style w:type="character" w:customStyle="1" w:styleId="NotedebasdepageCar">
    <w:name w:val="Note de bas de page Car"/>
    <w:basedOn w:val="Policepardfaut"/>
    <w:link w:val="Notedebasdepage"/>
    <w:uiPriority w:val="99"/>
    <w:rsid w:val="005F6FED"/>
    <w:rPr>
      <w:rFonts w:ascii="Cambria" w:eastAsia="Cambria" w:hAnsi="Cambria"/>
      <w:sz w:val="24"/>
      <w:szCs w:val="24"/>
      <w:lang w:eastAsia="en-US"/>
    </w:rPr>
  </w:style>
  <w:style w:type="paragraph" w:styleId="En-tte">
    <w:name w:val="header"/>
    <w:basedOn w:val="Normal"/>
    <w:link w:val="En-tteCar"/>
    <w:rsid w:val="005F6FED"/>
    <w:pPr>
      <w:tabs>
        <w:tab w:val="center" w:pos="4536"/>
        <w:tab w:val="right" w:pos="9072"/>
      </w:tabs>
    </w:pPr>
    <w:rPr>
      <w:rFonts w:eastAsia="Times New Roman"/>
      <w:lang w:eastAsia="en-US"/>
    </w:rPr>
  </w:style>
  <w:style w:type="character" w:customStyle="1" w:styleId="En-tteCar">
    <w:name w:val="En-tête Car"/>
    <w:basedOn w:val="Policepardfaut"/>
    <w:link w:val="En-tte"/>
    <w:rsid w:val="005F6FED"/>
    <w:rPr>
      <w:rFonts w:eastAsia="Times New Roman"/>
      <w:sz w:val="24"/>
      <w:szCs w:val="24"/>
      <w:lang w:eastAsia="en-US"/>
    </w:rPr>
  </w:style>
  <w:style w:type="paragraph" w:styleId="Pieddepage">
    <w:name w:val="footer"/>
    <w:basedOn w:val="Normal"/>
    <w:link w:val="PieddepageCar"/>
    <w:uiPriority w:val="99"/>
    <w:unhideWhenUsed/>
    <w:rsid w:val="005F6FED"/>
    <w:pPr>
      <w:tabs>
        <w:tab w:val="center" w:pos="4536"/>
        <w:tab w:val="right" w:pos="9072"/>
      </w:tabs>
    </w:pPr>
  </w:style>
  <w:style w:type="character" w:customStyle="1" w:styleId="PieddepageCar">
    <w:name w:val="Pied de page Car"/>
    <w:basedOn w:val="Policepardfaut"/>
    <w:link w:val="Pieddepage"/>
    <w:uiPriority w:val="99"/>
    <w:rsid w:val="005F6FED"/>
    <w:rPr>
      <w:sz w:val="24"/>
      <w:szCs w:val="24"/>
      <w:lang w:eastAsia="fr-FR"/>
    </w:rPr>
  </w:style>
  <w:style w:type="character" w:styleId="Numrodepage">
    <w:name w:val="page number"/>
    <w:basedOn w:val="Policepardfaut"/>
    <w:uiPriority w:val="99"/>
    <w:semiHidden/>
    <w:unhideWhenUsed/>
    <w:rsid w:val="005F6FED"/>
  </w:style>
  <w:style w:type="character" w:styleId="Rfrenceple">
    <w:name w:val="Subtle Reference"/>
    <w:qFormat/>
    <w:rsid w:val="005F6FED"/>
    <w:rPr>
      <w:smallCaps/>
    </w:rPr>
  </w:style>
  <w:style w:type="paragraph" w:styleId="Textedebulles">
    <w:name w:val="Balloon Text"/>
    <w:basedOn w:val="Normal"/>
    <w:link w:val="TextedebullesCar"/>
    <w:uiPriority w:val="99"/>
    <w:semiHidden/>
    <w:unhideWhenUsed/>
    <w:rsid w:val="00295FFE"/>
    <w:rPr>
      <w:rFonts w:ascii="Tahoma" w:hAnsi="Tahoma" w:cs="Tahoma"/>
      <w:sz w:val="16"/>
      <w:szCs w:val="16"/>
    </w:rPr>
  </w:style>
  <w:style w:type="character" w:customStyle="1" w:styleId="TextedebullesCar">
    <w:name w:val="Texte de bulles Car"/>
    <w:basedOn w:val="Policepardfaut"/>
    <w:link w:val="Textedebulles"/>
    <w:uiPriority w:val="99"/>
    <w:semiHidden/>
    <w:rsid w:val="00295FFE"/>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2280</Words>
  <Characters>12540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A</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CLIENT11</cp:lastModifiedBy>
  <cp:revision>2</cp:revision>
  <dcterms:created xsi:type="dcterms:W3CDTF">2017-04-27T11:33:00Z</dcterms:created>
  <dcterms:modified xsi:type="dcterms:W3CDTF">2017-04-27T11:33:00Z</dcterms:modified>
</cp:coreProperties>
</file>